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77" w:rsidRDefault="00991077" w:rsidP="0015243A">
      <w:pPr>
        <w:spacing w:after="0" w:line="480" w:lineRule="auto"/>
        <w:jc w:val="center"/>
        <w:rPr>
          <w:rFonts w:ascii="Times New Roman" w:eastAsia="Times New Roman" w:hAnsi="Times New Roman" w:cs="Times New Roman"/>
          <w:color w:val="000000"/>
          <w:sz w:val="48"/>
          <w:szCs w:val="48"/>
        </w:rPr>
      </w:pPr>
    </w:p>
    <w:p w:rsidR="00991077" w:rsidRDefault="00991077" w:rsidP="0015243A">
      <w:pPr>
        <w:spacing w:after="0" w:line="480" w:lineRule="auto"/>
        <w:jc w:val="center"/>
        <w:rPr>
          <w:rFonts w:ascii="Times New Roman" w:eastAsia="Times New Roman" w:hAnsi="Times New Roman" w:cs="Times New Roman"/>
          <w:color w:val="000000"/>
          <w:sz w:val="48"/>
          <w:szCs w:val="48"/>
        </w:rPr>
      </w:pPr>
    </w:p>
    <w:p w:rsidR="00991077" w:rsidRDefault="00991077" w:rsidP="0015243A">
      <w:pPr>
        <w:spacing w:after="0" w:line="480" w:lineRule="auto"/>
        <w:jc w:val="center"/>
        <w:rPr>
          <w:rFonts w:ascii="Times New Roman" w:eastAsia="Times New Roman" w:hAnsi="Times New Roman" w:cs="Times New Roman"/>
          <w:color w:val="000000"/>
          <w:sz w:val="48"/>
          <w:szCs w:val="48"/>
        </w:rPr>
      </w:pPr>
    </w:p>
    <w:p w:rsidR="0015243A" w:rsidRPr="0015243A" w:rsidRDefault="0015243A" w:rsidP="0015243A">
      <w:pPr>
        <w:spacing w:after="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48"/>
          <w:szCs w:val="48"/>
        </w:rPr>
        <w:t>Finance 517</w:t>
      </w:r>
    </w:p>
    <w:p w:rsidR="0015243A" w:rsidRPr="0015243A" w:rsidRDefault="0015243A" w:rsidP="0015243A">
      <w:pPr>
        <w:spacing w:after="0" w:line="480" w:lineRule="auto"/>
        <w:rPr>
          <w:rFonts w:ascii="Times New Roman" w:eastAsia="Times New Roman" w:hAnsi="Times New Roman" w:cs="Times New Roman"/>
          <w:sz w:val="24"/>
          <w:szCs w:val="24"/>
        </w:rPr>
      </w:pPr>
    </w:p>
    <w:p w:rsidR="0015243A" w:rsidRPr="0015243A" w:rsidRDefault="0015243A" w:rsidP="0015243A">
      <w:pPr>
        <w:spacing w:after="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48"/>
          <w:szCs w:val="48"/>
        </w:rPr>
        <w:t>Fluor Corporation: Construction Under Analysis</w:t>
      </w:r>
    </w:p>
    <w:p w:rsidR="0015243A" w:rsidRPr="0015243A" w:rsidRDefault="0015243A" w:rsidP="00991077">
      <w:pPr>
        <w:spacing w:after="24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sz w:val="24"/>
          <w:szCs w:val="24"/>
        </w:rPr>
        <w:br/>
      </w:r>
      <w:r w:rsidRPr="0015243A">
        <w:rPr>
          <w:rFonts w:ascii="Times New Roman" w:eastAsia="Times New Roman" w:hAnsi="Times New Roman" w:cs="Times New Roman"/>
          <w:color w:val="000000"/>
          <w:sz w:val="24"/>
          <w:szCs w:val="24"/>
        </w:rPr>
        <w:t>Paper by:</w:t>
      </w:r>
    </w:p>
    <w:p w:rsidR="0015243A" w:rsidRPr="0015243A" w:rsidRDefault="0015243A" w:rsidP="0015243A">
      <w:pPr>
        <w:spacing w:after="0" w:line="480" w:lineRule="auto"/>
        <w:rPr>
          <w:rFonts w:ascii="Times New Roman" w:eastAsia="Times New Roman" w:hAnsi="Times New Roman" w:cs="Times New Roman"/>
          <w:sz w:val="24"/>
          <w:szCs w:val="24"/>
        </w:rPr>
      </w:pPr>
    </w:p>
    <w:p w:rsidR="0015243A" w:rsidRPr="0015243A" w:rsidRDefault="0015243A" w:rsidP="0015243A">
      <w:pPr>
        <w:spacing w:after="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Daniel </w:t>
      </w:r>
      <w:proofErr w:type="spellStart"/>
      <w:r w:rsidRPr="0015243A">
        <w:rPr>
          <w:rFonts w:ascii="Times New Roman" w:eastAsia="Times New Roman" w:hAnsi="Times New Roman" w:cs="Times New Roman"/>
          <w:color w:val="000000"/>
          <w:sz w:val="24"/>
          <w:szCs w:val="24"/>
        </w:rPr>
        <w:t>Eguina</w:t>
      </w:r>
      <w:proofErr w:type="spellEnd"/>
    </w:p>
    <w:p w:rsidR="0015243A" w:rsidRPr="0015243A" w:rsidRDefault="007147BB" w:rsidP="0015243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Bor</w:t>
      </w:r>
      <w:r w:rsidR="0015243A" w:rsidRPr="0015243A">
        <w:rPr>
          <w:rFonts w:ascii="Times New Roman" w:eastAsia="Times New Roman" w:hAnsi="Times New Roman" w:cs="Times New Roman"/>
          <w:color w:val="000000"/>
          <w:sz w:val="24"/>
          <w:szCs w:val="24"/>
        </w:rPr>
        <w:t xml:space="preserve">is </w:t>
      </w:r>
      <w:proofErr w:type="spellStart"/>
      <w:r w:rsidR="0015243A" w:rsidRPr="0015243A">
        <w:rPr>
          <w:rFonts w:ascii="Times New Roman" w:eastAsia="Times New Roman" w:hAnsi="Times New Roman" w:cs="Times New Roman"/>
          <w:color w:val="000000"/>
          <w:sz w:val="24"/>
          <w:szCs w:val="24"/>
        </w:rPr>
        <w:t>Gutman</w:t>
      </w:r>
      <w:proofErr w:type="spellEnd"/>
    </w:p>
    <w:p w:rsidR="0015243A" w:rsidRPr="0015243A" w:rsidRDefault="0015243A" w:rsidP="0015243A">
      <w:pPr>
        <w:spacing w:after="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Brent Wallace</w:t>
      </w:r>
    </w:p>
    <w:p w:rsidR="0015243A" w:rsidRPr="0015243A" w:rsidRDefault="0015243A" w:rsidP="0015243A">
      <w:pPr>
        <w:spacing w:after="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Christina Wei</w:t>
      </w:r>
    </w:p>
    <w:p w:rsidR="0015243A" w:rsidRPr="0015243A" w:rsidRDefault="0015243A" w:rsidP="0015243A">
      <w:pPr>
        <w:spacing w:after="0" w:line="480" w:lineRule="auto"/>
        <w:jc w:val="center"/>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Martin Zapata</w:t>
      </w:r>
    </w:p>
    <w:p w:rsidR="0015243A" w:rsidRDefault="0015243A" w:rsidP="0015243A">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sdt>
      <w:sdtPr>
        <w:rPr>
          <w:rFonts w:asciiTheme="minorHAnsi" w:eastAsiaTheme="minorHAnsi" w:hAnsiTheme="minorHAnsi" w:cstheme="minorBidi"/>
          <w:b w:val="0"/>
          <w:bCs w:val="0"/>
          <w:color w:val="auto"/>
          <w:sz w:val="22"/>
          <w:szCs w:val="22"/>
          <w:lang w:eastAsia="en-US"/>
        </w:rPr>
        <w:id w:val="666134228"/>
        <w:docPartObj>
          <w:docPartGallery w:val="Table of Contents"/>
          <w:docPartUnique/>
        </w:docPartObj>
      </w:sdtPr>
      <w:sdtEndPr>
        <w:rPr>
          <w:noProof/>
        </w:rPr>
      </w:sdtEndPr>
      <w:sdtContent>
        <w:p w:rsidR="0015243A" w:rsidRDefault="0015243A" w:rsidP="0015243A">
          <w:pPr>
            <w:pStyle w:val="TOCHeading"/>
            <w:spacing w:line="480" w:lineRule="auto"/>
          </w:pPr>
          <w:r>
            <w:t>Contents</w:t>
          </w:r>
        </w:p>
        <w:p w:rsidR="00FF1C49" w:rsidRDefault="0015243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42825321" w:history="1">
            <w:r w:rsidR="00FF1C49" w:rsidRPr="00443EFC">
              <w:rPr>
                <w:rStyle w:val="Hyperlink"/>
                <w:rFonts w:eastAsia="Times New Roman"/>
                <w:noProof/>
              </w:rPr>
              <w:t>Executive Summary</w:t>
            </w:r>
            <w:r w:rsidR="00FF1C49">
              <w:rPr>
                <w:noProof/>
                <w:webHidden/>
              </w:rPr>
              <w:tab/>
            </w:r>
            <w:r w:rsidR="00FF1C49">
              <w:rPr>
                <w:noProof/>
                <w:webHidden/>
              </w:rPr>
              <w:fldChar w:fldCharType="begin"/>
            </w:r>
            <w:r w:rsidR="00FF1C49">
              <w:rPr>
                <w:noProof/>
                <w:webHidden/>
              </w:rPr>
              <w:instrText xml:space="preserve"> PAGEREF _Toc342825321 \h </w:instrText>
            </w:r>
            <w:r w:rsidR="00FF1C49">
              <w:rPr>
                <w:noProof/>
                <w:webHidden/>
              </w:rPr>
            </w:r>
            <w:r w:rsidR="00FF1C49">
              <w:rPr>
                <w:noProof/>
                <w:webHidden/>
              </w:rPr>
              <w:fldChar w:fldCharType="separate"/>
            </w:r>
            <w:r w:rsidR="00FF1C49">
              <w:rPr>
                <w:noProof/>
                <w:webHidden/>
              </w:rPr>
              <w:t>4</w:t>
            </w:r>
            <w:r w:rsidR="00FF1C49">
              <w:rPr>
                <w:noProof/>
                <w:webHidden/>
              </w:rPr>
              <w:fldChar w:fldCharType="end"/>
            </w:r>
          </w:hyperlink>
        </w:p>
        <w:p w:rsidR="00FF1C49" w:rsidRDefault="00FF1C49">
          <w:pPr>
            <w:pStyle w:val="TOC1"/>
            <w:tabs>
              <w:tab w:val="right" w:leader="dot" w:pos="9350"/>
            </w:tabs>
            <w:rPr>
              <w:rFonts w:eastAsiaTheme="minorEastAsia"/>
              <w:noProof/>
            </w:rPr>
          </w:pPr>
          <w:hyperlink w:anchor="_Toc342825322" w:history="1">
            <w:r w:rsidRPr="00443EFC">
              <w:rPr>
                <w:rStyle w:val="Hyperlink"/>
                <w:rFonts w:eastAsia="Times New Roman"/>
                <w:noProof/>
              </w:rPr>
              <w:t>I. Financial Analysis</w:t>
            </w:r>
            <w:r>
              <w:rPr>
                <w:noProof/>
                <w:webHidden/>
              </w:rPr>
              <w:tab/>
            </w:r>
            <w:r>
              <w:rPr>
                <w:noProof/>
                <w:webHidden/>
              </w:rPr>
              <w:fldChar w:fldCharType="begin"/>
            </w:r>
            <w:r>
              <w:rPr>
                <w:noProof/>
                <w:webHidden/>
              </w:rPr>
              <w:instrText xml:space="preserve"> PAGEREF _Toc342825322 \h </w:instrText>
            </w:r>
            <w:r>
              <w:rPr>
                <w:noProof/>
                <w:webHidden/>
              </w:rPr>
            </w:r>
            <w:r>
              <w:rPr>
                <w:noProof/>
                <w:webHidden/>
              </w:rPr>
              <w:fldChar w:fldCharType="separate"/>
            </w:r>
            <w:r>
              <w:rPr>
                <w:noProof/>
                <w:webHidden/>
              </w:rPr>
              <w:t>5</w:t>
            </w:r>
            <w:r>
              <w:rPr>
                <w:noProof/>
                <w:webHidden/>
              </w:rPr>
              <w:fldChar w:fldCharType="end"/>
            </w:r>
          </w:hyperlink>
        </w:p>
        <w:p w:rsidR="00FF1C49" w:rsidRDefault="00FF1C49">
          <w:pPr>
            <w:pStyle w:val="TOC1"/>
            <w:tabs>
              <w:tab w:val="right" w:leader="dot" w:pos="9350"/>
            </w:tabs>
            <w:rPr>
              <w:rFonts w:eastAsiaTheme="minorEastAsia"/>
              <w:noProof/>
            </w:rPr>
          </w:pPr>
          <w:hyperlink w:anchor="_Toc342825323" w:history="1">
            <w:r w:rsidRPr="00443EFC">
              <w:rPr>
                <w:rStyle w:val="Hyperlink"/>
                <w:rFonts w:eastAsia="Times New Roman"/>
                <w:noProof/>
              </w:rPr>
              <w:t>II. Risk Profile Analysis</w:t>
            </w:r>
            <w:r>
              <w:rPr>
                <w:noProof/>
                <w:webHidden/>
              </w:rPr>
              <w:tab/>
            </w:r>
            <w:r>
              <w:rPr>
                <w:noProof/>
                <w:webHidden/>
              </w:rPr>
              <w:fldChar w:fldCharType="begin"/>
            </w:r>
            <w:r>
              <w:rPr>
                <w:noProof/>
                <w:webHidden/>
              </w:rPr>
              <w:instrText xml:space="preserve"> PAGEREF _Toc342825323 \h </w:instrText>
            </w:r>
            <w:r>
              <w:rPr>
                <w:noProof/>
                <w:webHidden/>
              </w:rPr>
            </w:r>
            <w:r>
              <w:rPr>
                <w:noProof/>
                <w:webHidden/>
              </w:rPr>
              <w:fldChar w:fldCharType="separate"/>
            </w:r>
            <w:r>
              <w:rPr>
                <w:noProof/>
                <w:webHidden/>
              </w:rPr>
              <w:t>7</w:t>
            </w:r>
            <w:r>
              <w:rPr>
                <w:noProof/>
                <w:webHidden/>
              </w:rPr>
              <w:fldChar w:fldCharType="end"/>
            </w:r>
          </w:hyperlink>
        </w:p>
        <w:p w:rsidR="00FF1C49" w:rsidRDefault="00FF1C49">
          <w:pPr>
            <w:pStyle w:val="TOC1"/>
            <w:tabs>
              <w:tab w:val="right" w:leader="dot" w:pos="9350"/>
            </w:tabs>
            <w:rPr>
              <w:rFonts w:eastAsiaTheme="minorEastAsia"/>
              <w:noProof/>
            </w:rPr>
          </w:pPr>
          <w:hyperlink w:anchor="_Toc342825324" w:history="1">
            <w:r w:rsidRPr="00443EFC">
              <w:rPr>
                <w:rStyle w:val="Hyperlink"/>
                <w:noProof/>
              </w:rPr>
              <w:t>III. Stock Valuation</w:t>
            </w:r>
            <w:r>
              <w:rPr>
                <w:noProof/>
                <w:webHidden/>
              </w:rPr>
              <w:tab/>
            </w:r>
            <w:r>
              <w:rPr>
                <w:noProof/>
                <w:webHidden/>
              </w:rPr>
              <w:fldChar w:fldCharType="begin"/>
            </w:r>
            <w:r>
              <w:rPr>
                <w:noProof/>
                <w:webHidden/>
              </w:rPr>
              <w:instrText xml:space="preserve"> PAGEREF _Toc342825324 \h </w:instrText>
            </w:r>
            <w:r>
              <w:rPr>
                <w:noProof/>
                <w:webHidden/>
              </w:rPr>
            </w:r>
            <w:r>
              <w:rPr>
                <w:noProof/>
                <w:webHidden/>
              </w:rPr>
              <w:fldChar w:fldCharType="separate"/>
            </w:r>
            <w:r>
              <w:rPr>
                <w:noProof/>
                <w:webHidden/>
              </w:rPr>
              <w:t>8</w:t>
            </w:r>
            <w:r>
              <w:rPr>
                <w:noProof/>
                <w:webHidden/>
              </w:rPr>
              <w:fldChar w:fldCharType="end"/>
            </w:r>
          </w:hyperlink>
        </w:p>
        <w:p w:rsidR="00FF1C49" w:rsidRDefault="00FF1C49">
          <w:pPr>
            <w:pStyle w:val="TOC2"/>
            <w:tabs>
              <w:tab w:val="right" w:leader="dot" w:pos="9350"/>
            </w:tabs>
            <w:rPr>
              <w:rFonts w:eastAsiaTheme="minorEastAsia"/>
              <w:noProof/>
            </w:rPr>
          </w:pPr>
          <w:hyperlink w:anchor="_Toc342825325" w:history="1">
            <w:r w:rsidRPr="00443EFC">
              <w:rPr>
                <w:rStyle w:val="Hyperlink"/>
                <w:rFonts w:eastAsia="Times New Roman"/>
                <w:noProof/>
              </w:rPr>
              <w:t>Appendix 1: Ratio Descriptions</w:t>
            </w:r>
            <w:r>
              <w:rPr>
                <w:noProof/>
                <w:webHidden/>
              </w:rPr>
              <w:tab/>
            </w:r>
            <w:r>
              <w:rPr>
                <w:noProof/>
                <w:webHidden/>
              </w:rPr>
              <w:fldChar w:fldCharType="begin"/>
            </w:r>
            <w:r>
              <w:rPr>
                <w:noProof/>
                <w:webHidden/>
              </w:rPr>
              <w:instrText xml:space="preserve"> PAGEREF _Toc342825325 \h </w:instrText>
            </w:r>
            <w:r>
              <w:rPr>
                <w:noProof/>
                <w:webHidden/>
              </w:rPr>
            </w:r>
            <w:r>
              <w:rPr>
                <w:noProof/>
                <w:webHidden/>
              </w:rPr>
              <w:fldChar w:fldCharType="separate"/>
            </w:r>
            <w:r>
              <w:rPr>
                <w:noProof/>
                <w:webHidden/>
              </w:rPr>
              <w:t>10</w:t>
            </w:r>
            <w:r>
              <w:rPr>
                <w:noProof/>
                <w:webHidden/>
              </w:rPr>
              <w:fldChar w:fldCharType="end"/>
            </w:r>
          </w:hyperlink>
        </w:p>
        <w:p w:rsidR="00FF1C49" w:rsidRDefault="00FF1C49">
          <w:pPr>
            <w:pStyle w:val="TOC1"/>
            <w:tabs>
              <w:tab w:val="right" w:leader="dot" w:pos="9350"/>
            </w:tabs>
            <w:rPr>
              <w:rFonts w:eastAsiaTheme="minorEastAsia"/>
              <w:noProof/>
            </w:rPr>
          </w:pPr>
          <w:hyperlink w:anchor="_Toc342825326" w:history="1">
            <w:r w:rsidRPr="00443EFC">
              <w:rPr>
                <w:rStyle w:val="Hyperlink"/>
                <w:noProof/>
              </w:rPr>
              <w:t>APPENDIX 2 – Hand Calculated Fluor Ratio FYE 12/31/2011</w:t>
            </w:r>
            <w:r>
              <w:rPr>
                <w:noProof/>
                <w:webHidden/>
              </w:rPr>
              <w:tab/>
            </w:r>
            <w:r>
              <w:rPr>
                <w:noProof/>
                <w:webHidden/>
              </w:rPr>
              <w:fldChar w:fldCharType="begin"/>
            </w:r>
            <w:r>
              <w:rPr>
                <w:noProof/>
                <w:webHidden/>
              </w:rPr>
              <w:instrText xml:space="preserve"> PAGEREF _Toc342825326 \h </w:instrText>
            </w:r>
            <w:r>
              <w:rPr>
                <w:noProof/>
                <w:webHidden/>
              </w:rPr>
            </w:r>
            <w:r>
              <w:rPr>
                <w:noProof/>
                <w:webHidden/>
              </w:rPr>
              <w:fldChar w:fldCharType="separate"/>
            </w:r>
            <w:r>
              <w:rPr>
                <w:noProof/>
                <w:webHidden/>
              </w:rPr>
              <w:t>11</w:t>
            </w:r>
            <w:r>
              <w:rPr>
                <w:noProof/>
                <w:webHidden/>
              </w:rPr>
              <w:fldChar w:fldCharType="end"/>
            </w:r>
          </w:hyperlink>
        </w:p>
        <w:p w:rsidR="00FF1C49" w:rsidRDefault="00FF1C49">
          <w:pPr>
            <w:pStyle w:val="TOC1"/>
            <w:tabs>
              <w:tab w:val="right" w:leader="dot" w:pos="9350"/>
            </w:tabs>
            <w:rPr>
              <w:rFonts w:eastAsiaTheme="minorEastAsia"/>
              <w:noProof/>
            </w:rPr>
          </w:pPr>
          <w:hyperlink w:anchor="_Toc342825327" w:history="1">
            <w:r w:rsidRPr="00443EFC">
              <w:rPr>
                <w:rStyle w:val="Hyperlink"/>
                <w:rFonts w:eastAsia="Times New Roman"/>
                <w:noProof/>
              </w:rPr>
              <w:t xml:space="preserve">APPENDIX </w:t>
            </w:r>
            <w:r w:rsidRPr="00443EFC">
              <w:rPr>
                <w:rStyle w:val="Hyperlink"/>
                <w:noProof/>
              </w:rPr>
              <w:t>3</w:t>
            </w:r>
            <w:r w:rsidRPr="00443EFC">
              <w:rPr>
                <w:rStyle w:val="Hyperlink"/>
                <w:rFonts w:eastAsia="Times New Roman"/>
                <w:noProof/>
              </w:rPr>
              <w:t xml:space="preserve"> – Ratio Graphs with Trend Lines</w:t>
            </w:r>
            <w:r>
              <w:rPr>
                <w:noProof/>
                <w:webHidden/>
              </w:rPr>
              <w:tab/>
            </w:r>
            <w:r>
              <w:rPr>
                <w:noProof/>
                <w:webHidden/>
              </w:rPr>
              <w:fldChar w:fldCharType="begin"/>
            </w:r>
            <w:r>
              <w:rPr>
                <w:noProof/>
                <w:webHidden/>
              </w:rPr>
              <w:instrText xml:space="preserve"> PAGEREF _Toc342825327 \h </w:instrText>
            </w:r>
            <w:r>
              <w:rPr>
                <w:noProof/>
                <w:webHidden/>
              </w:rPr>
            </w:r>
            <w:r>
              <w:rPr>
                <w:noProof/>
                <w:webHidden/>
              </w:rPr>
              <w:fldChar w:fldCharType="separate"/>
            </w:r>
            <w:r>
              <w:rPr>
                <w:noProof/>
                <w:webHidden/>
              </w:rPr>
              <w:t>12</w:t>
            </w:r>
            <w:r>
              <w:rPr>
                <w:noProof/>
                <w:webHidden/>
              </w:rPr>
              <w:fldChar w:fldCharType="end"/>
            </w:r>
          </w:hyperlink>
        </w:p>
        <w:p w:rsidR="00FF1C49" w:rsidRDefault="00FF1C49">
          <w:pPr>
            <w:pStyle w:val="TOC2"/>
            <w:tabs>
              <w:tab w:val="right" w:leader="dot" w:pos="9350"/>
            </w:tabs>
            <w:rPr>
              <w:rFonts w:eastAsiaTheme="minorEastAsia"/>
              <w:noProof/>
            </w:rPr>
          </w:pPr>
          <w:hyperlink w:anchor="_Toc342825328" w:history="1">
            <w:r w:rsidRPr="00443EFC">
              <w:rPr>
                <w:rStyle w:val="Hyperlink"/>
                <w:rFonts w:eastAsia="Times New Roman"/>
                <w:noProof/>
              </w:rPr>
              <w:t>Return on Assets Percentage</w:t>
            </w:r>
            <w:r>
              <w:rPr>
                <w:noProof/>
                <w:webHidden/>
              </w:rPr>
              <w:tab/>
            </w:r>
            <w:r>
              <w:rPr>
                <w:noProof/>
                <w:webHidden/>
              </w:rPr>
              <w:fldChar w:fldCharType="begin"/>
            </w:r>
            <w:r>
              <w:rPr>
                <w:noProof/>
                <w:webHidden/>
              </w:rPr>
              <w:instrText xml:space="preserve"> PAGEREF _Toc342825328 \h </w:instrText>
            </w:r>
            <w:r>
              <w:rPr>
                <w:noProof/>
                <w:webHidden/>
              </w:rPr>
            </w:r>
            <w:r>
              <w:rPr>
                <w:noProof/>
                <w:webHidden/>
              </w:rPr>
              <w:fldChar w:fldCharType="separate"/>
            </w:r>
            <w:r>
              <w:rPr>
                <w:noProof/>
                <w:webHidden/>
              </w:rPr>
              <w:t>12</w:t>
            </w:r>
            <w:r>
              <w:rPr>
                <w:noProof/>
                <w:webHidden/>
              </w:rPr>
              <w:fldChar w:fldCharType="end"/>
            </w:r>
          </w:hyperlink>
        </w:p>
        <w:p w:rsidR="00FF1C49" w:rsidRDefault="00FF1C49">
          <w:pPr>
            <w:pStyle w:val="TOC2"/>
            <w:tabs>
              <w:tab w:val="right" w:leader="dot" w:pos="9350"/>
            </w:tabs>
            <w:rPr>
              <w:rFonts w:eastAsiaTheme="minorEastAsia"/>
              <w:noProof/>
            </w:rPr>
          </w:pPr>
          <w:hyperlink w:anchor="_Toc342825329" w:history="1">
            <w:r w:rsidRPr="00443EFC">
              <w:rPr>
                <w:rStyle w:val="Hyperlink"/>
                <w:rFonts w:eastAsia="Times New Roman"/>
                <w:noProof/>
              </w:rPr>
              <w:t>Return on Equity Percentage</w:t>
            </w:r>
            <w:r>
              <w:rPr>
                <w:noProof/>
                <w:webHidden/>
              </w:rPr>
              <w:tab/>
            </w:r>
            <w:r>
              <w:rPr>
                <w:noProof/>
                <w:webHidden/>
              </w:rPr>
              <w:fldChar w:fldCharType="begin"/>
            </w:r>
            <w:r>
              <w:rPr>
                <w:noProof/>
                <w:webHidden/>
              </w:rPr>
              <w:instrText xml:space="preserve"> PAGEREF _Toc342825329 \h </w:instrText>
            </w:r>
            <w:r>
              <w:rPr>
                <w:noProof/>
                <w:webHidden/>
              </w:rPr>
            </w:r>
            <w:r>
              <w:rPr>
                <w:noProof/>
                <w:webHidden/>
              </w:rPr>
              <w:fldChar w:fldCharType="separate"/>
            </w:r>
            <w:r>
              <w:rPr>
                <w:noProof/>
                <w:webHidden/>
              </w:rPr>
              <w:t>12</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0" w:history="1">
            <w:r w:rsidRPr="00443EFC">
              <w:rPr>
                <w:rStyle w:val="Hyperlink"/>
                <w:rFonts w:eastAsia="Times New Roman"/>
                <w:noProof/>
              </w:rPr>
              <w:t>Return on Investment Percentage</w:t>
            </w:r>
            <w:r>
              <w:rPr>
                <w:noProof/>
                <w:webHidden/>
              </w:rPr>
              <w:tab/>
            </w:r>
            <w:r>
              <w:rPr>
                <w:noProof/>
                <w:webHidden/>
              </w:rPr>
              <w:fldChar w:fldCharType="begin"/>
            </w:r>
            <w:r>
              <w:rPr>
                <w:noProof/>
                <w:webHidden/>
              </w:rPr>
              <w:instrText xml:space="preserve"> PAGEREF _Toc342825330 \h </w:instrText>
            </w:r>
            <w:r>
              <w:rPr>
                <w:noProof/>
                <w:webHidden/>
              </w:rPr>
            </w:r>
            <w:r>
              <w:rPr>
                <w:noProof/>
                <w:webHidden/>
              </w:rPr>
              <w:fldChar w:fldCharType="separate"/>
            </w:r>
            <w:r>
              <w:rPr>
                <w:noProof/>
                <w:webHidden/>
              </w:rPr>
              <w:t>12</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1" w:history="1">
            <w:r w:rsidRPr="00443EFC">
              <w:rPr>
                <w:rStyle w:val="Hyperlink"/>
                <w:rFonts w:eastAsia="Times New Roman"/>
                <w:noProof/>
              </w:rPr>
              <w:t>Earnings Before Interest, Taxes, Depreciation and Amortization Percentage</w:t>
            </w:r>
            <w:r>
              <w:rPr>
                <w:noProof/>
                <w:webHidden/>
              </w:rPr>
              <w:tab/>
            </w:r>
            <w:r>
              <w:rPr>
                <w:noProof/>
                <w:webHidden/>
              </w:rPr>
              <w:fldChar w:fldCharType="begin"/>
            </w:r>
            <w:r>
              <w:rPr>
                <w:noProof/>
                <w:webHidden/>
              </w:rPr>
              <w:instrText xml:space="preserve"> PAGEREF _Toc342825331 \h </w:instrText>
            </w:r>
            <w:r>
              <w:rPr>
                <w:noProof/>
                <w:webHidden/>
              </w:rPr>
            </w:r>
            <w:r>
              <w:rPr>
                <w:noProof/>
                <w:webHidden/>
              </w:rPr>
              <w:fldChar w:fldCharType="separate"/>
            </w:r>
            <w:r>
              <w:rPr>
                <w:noProof/>
                <w:webHidden/>
              </w:rPr>
              <w:t>13</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2" w:history="1">
            <w:r w:rsidRPr="00443EFC">
              <w:rPr>
                <w:rStyle w:val="Hyperlink"/>
                <w:rFonts w:eastAsia="Times New Roman"/>
                <w:noProof/>
              </w:rPr>
              <w:t>Quick Ratio</w:t>
            </w:r>
            <w:r>
              <w:rPr>
                <w:noProof/>
                <w:webHidden/>
              </w:rPr>
              <w:tab/>
            </w:r>
            <w:r>
              <w:rPr>
                <w:noProof/>
                <w:webHidden/>
              </w:rPr>
              <w:fldChar w:fldCharType="begin"/>
            </w:r>
            <w:r>
              <w:rPr>
                <w:noProof/>
                <w:webHidden/>
              </w:rPr>
              <w:instrText xml:space="preserve"> PAGEREF _Toc342825332 \h </w:instrText>
            </w:r>
            <w:r>
              <w:rPr>
                <w:noProof/>
                <w:webHidden/>
              </w:rPr>
            </w:r>
            <w:r>
              <w:rPr>
                <w:noProof/>
                <w:webHidden/>
              </w:rPr>
              <w:fldChar w:fldCharType="separate"/>
            </w:r>
            <w:r>
              <w:rPr>
                <w:noProof/>
                <w:webHidden/>
              </w:rPr>
              <w:t>14</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3" w:history="1">
            <w:r w:rsidRPr="00443EFC">
              <w:rPr>
                <w:rStyle w:val="Hyperlink"/>
                <w:rFonts w:eastAsia="Times New Roman"/>
                <w:noProof/>
              </w:rPr>
              <w:t>Current Ratio</w:t>
            </w:r>
            <w:r>
              <w:rPr>
                <w:noProof/>
                <w:webHidden/>
              </w:rPr>
              <w:tab/>
            </w:r>
            <w:r>
              <w:rPr>
                <w:noProof/>
                <w:webHidden/>
              </w:rPr>
              <w:fldChar w:fldCharType="begin"/>
            </w:r>
            <w:r>
              <w:rPr>
                <w:noProof/>
                <w:webHidden/>
              </w:rPr>
              <w:instrText xml:space="preserve"> PAGEREF _Toc342825333 \h </w:instrText>
            </w:r>
            <w:r>
              <w:rPr>
                <w:noProof/>
                <w:webHidden/>
              </w:rPr>
            </w:r>
            <w:r>
              <w:rPr>
                <w:noProof/>
                <w:webHidden/>
              </w:rPr>
              <w:fldChar w:fldCharType="separate"/>
            </w:r>
            <w:r>
              <w:rPr>
                <w:noProof/>
                <w:webHidden/>
              </w:rPr>
              <w:t>14</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4" w:history="1">
            <w:r w:rsidRPr="00443EFC">
              <w:rPr>
                <w:rStyle w:val="Hyperlink"/>
                <w:rFonts w:eastAsia="Times New Roman"/>
                <w:noProof/>
              </w:rPr>
              <w:t>Debt-to-Equity Ratio</w:t>
            </w:r>
            <w:r>
              <w:rPr>
                <w:noProof/>
                <w:webHidden/>
              </w:rPr>
              <w:tab/>
            </w:r>
            <w:r>
              <w:rPr>
                <w:noProof/>
                <w:webHidden/>
              </w:rPr>
              <w:fldChar w:fldCharType="begin"/>
            </w:r>
            <w:r>
              <w:rPr>
                <w:noProof/>
                <w:webHidden/>
              </w:rPr>
              <w:instrText xml:space="preserve"> PAGEREF _Toc342825334 \h </w:instrText>
            </w:r>
            <w:r>
              <w:rPr>
                <w:noProof/>
                <w:webHidden/>
              </w:rPr>
            </w:r>
            <w:r>
              <w:rPr>
                <w:noProof/>
                <w:webHidden/>
              </w:rPr>
              <w:fldChar w:fldCharType="separate"/>
            </w:r>
            <w:r>
              <w:rPr>
                <w:noProof/>
                <w:webHidden/>
              </w:rPr>
              <w:t>15</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5" w:history="1">
            <w:r w:rsidRPr="00443EFC">
              <w:rPr>
                <w:rStyle w:val="Hyperlink"/>
                <w:rFonts w:eastAsia="Times New Roman"/>
                <w:noProof/>
              </w:rPr>
              <w:t>Total Asset Turnover</w:t>
            </w:r>
            <w:r>
              <w:rPr>
                <w:noProof/>
                <w:webHidden/>
              </w:rPr>
              <w:tab/>
            </w:r>
            <w:r>
              <w:rPr>
                <w:noProof/>
                <w:webHidden/>
              </w:rPr>
              <w:fldChar w:fldCharType="begin"/>
            </w:r>
            <w:r>
              <w:rPr>
                <w:noProof/>
                <w:webHidden/>
              </w:rPr>
              <w:instrText xml:space="preserve"> PAGEREF _Toc342825335 \h </w:instrText>
            </w:r>
            <w:r>
              <w:rPr>
                <w:noProof/>
                <w:webHidden/>
              </w:rPr>
            </w:r>
            <w:r>
              <w:rPr>
                <w:noProof/>
                <w:webHidden/>
              </w:rPr>
              <w:fldChar w:fldCharType="separate"/>
            </w:r>
            <w:r>
              <w:rPr>
                <w:noProof/>
                <w:webHidden/>
              </w:rPr>
              <w:t>15</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6" w:history="1">
            <w:r w:rsidRPr="00443EFC">
              <w:rPr>
                <w:rStyle w:val="Hyperlink"/>
                <w:rFonts w:eastAsia="Times New Roman"/>
                <w:noProof/>
              </w:rPr>
              <w:t>Accounts Receivable Turnover</w:t>
            </w:r>
            <w:r>
              <w:rPr>
                <w:noProof/>
                <w:webHidden/>
              </w:rPr>
              <w:tab/>
            </w:r>
            <w:r>
              <w:rPr>
                <w:noProof/>
                <w:webHidden/>
              </w:rPr>
              <w:fldChar w:fldCharType="begin"/>
            </w:r>
            <w:r>
              <w:rPr>
                <w:noProof/>
                <w:webHidden/>
              </w:rPr>
              <w:instrText xml:space="preserve"> PAGEREF _Toc342825336 \h </w:instrText>
            </w:r>
            <w:r>
              <w:rPr>
                <w:noProof/>
                <w:webHidden/>
              </w:rPr>
            </w:r>
            <w:r>
              <w:rPr>
                <w:noProof/>
                <w:webHidden/>
              </w:rPr>
              <w:fldChar w:fldCharType="separate"/>
            </w:r>
            <w:r>
              <w:rPr>
                <w:noProof/>
                <w:webHidden/>
              </w:rPr>
              <w:t>16</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7" w:history="1">
            <w:r w:rsidRPr="00443EFC">
              <w:rPr>
                <w:rStyle w:val="Hyperlink"/>
                <w:rFonts w:eastAsia="Times New Roman"/>
                <w:noProof/>
              </w:rPr>
              <w:t>Cash Flow per Share</w:t>
            </w:r>
            <w:r>
              <w:rPr>
                <w:noProof/>
                <w:webHidden/>
              </w:rPr>
              <w:tab/>
            </w:r>
            <w:r>
              <w:rPr>
                <w:noProof/>
                <w:webHidden/>
              </w:rPr>
              <w:fldChar w:fldCharType="begin"/>
            </w:r>
            <w:r>
              <w:rPr>
                <w:noProof/>
                <w:webHidden/>
              </w:rPr>
              <w:instrText xml:space="preserve"> PAGEREF _Toc342825337 \h </w:instrText>
            </w:r>
            <w:r>
              <w:rPr>
                <w:noProof/>
                <w:webHidden/>
              </w:rPr>
            </w:r>
            <w:r>
              <w:rPr>
                <w:noProof/>
                <w:webHidden/>
              </w:rPr>
              <w:fldChar w:fldCharType="separate"/>
            </w:r>
            <w:r>
              <w:rPr>
                <w:noProof/>
                <w:webHidden/>
              </w:rPr>
              <w:t>16</w:t>
            </w:r>
            <w:r>
              <w:rPr>
                <w:noProof/>
                <w:webHidden/>
              </w:rPr>
              <w:fldChar w:fldCharType="end"/>
            </w:r>
          </w:hyperlink>
        </w:p>
        <w:p w:rsidR="00FF1C49" w:rsidRDefault="00FF1C49">
          <w:pPr>
            <w:pStyle w:val="TOC1"/>
            <w:tabs>
              <w:tab w:val="right" w:leader="dot" w:pos="9350"/>
            </w:tabs>
            <w:rPr>
              <w:rFonts w:eastAsiaTheme="minorEastAsia"/>
              <w:noProof/>
            </w:rPr>
          </w:pPr>
          <w:hyperlink w:anchor="_Toc342825338" w:history="1">
            <w:r w:rsidRPr="00443EFC">
              <w:rPr>
                <w:rStyle w:val="Hyperlink"/>
                <w:rFonts w:eastAsia="Times New Roman"/>
                <w:noProof/>
              </w:rPr>
              <w:t>APPENDIX 4- Assumptions to Industry</w:t>
            </w:r>
            <w:r>
              <w:rPr>
                <w:noProof/>
                <w:webHidden/>
              </w:rPr>
              <w:tab/>
            </w:r>
            <w:r>
              <w:rPr>
                <w:noProof/>
                <w:webHidden/>
              </w:rPr>
              <w:fldChar w:fldCharType="begin"/>
            </w:r>
            <w:r>
              <w:rPr>
                <w:noProof/>
                <w:webHidden/>
              </w:rPr>
              <w:instrText xml:space="preserve"> PAGEREF _Toc342825338 \h </w:instrText>
            </w:r>
            <w:r>
              <w:rPr>
                <w:noProof/>
                <w:webHidden/>
              </w:rPr>
            </w:r>
            <w:r>
              <w:rPr>
                <w:noProof/>
                <w:webHidden/>
              </w:rPr>
              <w:fldChar w:fldCharType="separate"/>
            </w:r>
            <w:r>
              <w:rPr>
                <w:noProof/>
                <w:webHidden/>
              </w:rPr>
              <w:t>17</w:t>
            </w:r>
            <w:r>
              <w:rPr>
                <w:noProof/>
                <w:webHidden/>
              </w:rPr>
              <w:fldChar w:fldCharType="end"/>
            </w:r>
          </w:hyperlink>
        </w:p>
        <w:p w:rsidR="00FF1C49" w:rsidRDefault="00FF1C49">
          <w:pPr>
            <w:pStyle w:val="TOC2"/>
            <w:tabs>
              <w:tab w:val="right" w:leader="dot" w:pos="9350"/>
            </w:tabs>
            <w:rPr>
              <w:rFonts w:eastAsiaTheme="minorEastAsia"/>
              <w:noProof/>
            </w:rPr>
          </w:pPr>
          <w:hyperlink w:anchor="_Toc342825339" w:history="1">
            <w:r w:rsidRPr="00443EFC">
              <w:rPr>
                <w:rStyle w:val="Hyperlink"/>
                <w:rFonts w:eastAsia="Times New Roman"/>
                <w:noProof/>
              </w:rPr>
              <w:t>Long term Debt</w:t>
            </w:r>
            <w:r>
              <w:rPr>
                <w:noProof/>
                <w:webHidden/>
              </w:rPr>
              <w:tab/>
            </w:r>
            <w:r>
              <w:rPr>
                <w:noProof/>
                <w:webHidden/>
              </w:rPr>
              <w:fldChar w:fldCharType="begin"/>
            </w:r>
            <w:r>
              <w:rPr>
                <w:noProof/>
                <w:webHidden/>
              </w:rPr>
              <w:instrText xml:space="preserve"> PAGEREF _Toc342825339 \h </w:instrText>
            </w:r>
            <w:r>
              <w:rPr>
                <w:noProof/>
                <w:webHidden/>
              </w:rPr>
            </w:r>
            <w:r>
              <w:rPr>
                <w:noProof/>
                <w:webHidden/>
              </w:rPr>
              <w:fldChar w:fldCharType="separate"/>
            </w:r>
            <w:r>
              <w:rPr>
                <w:noProof/>
                <w:webHidden/>
              </w:rPr>
              <w:t>17</w:t>
            </w:r>
            <w:r>
              <w:rPr>
                <w:noProof/>
                <w:webHidden/>
              </w:rPr>
              <w:fldChar w:fldCharType="end"/>
            </w:r>
          </w:hyperlink>
        </w:p>
        <w:p w:rsidR="00FF1C49" w:rsidRDefault="00FF1C49">
          <w:pPr>
            <w:pStyle w:val="TOC2"/>
            <w:tabs>
              <w:tab w:val="right" w:leader="dot" w:pos="9350"/>
            </w:tabs>
            <w:rPr>
              <w:rFonts w:eastAsiaTheme="minorEastAsia"/>
              <w:noProof/>
            </w:rPr>
          </w:pPr>
          <w:hyperlink w:anchor="_Toc342825340" w:history="1">
            <w:r w:rsidRPr="00443EFC">
              <w:rPr>
                <w:rStyle w:val="Hyperlink"/>
                <w:rFonts w:eastAsia="Times New Roman"/>
                <w:noProof/>
              </w:rPr>
              <w:t>Receivables</w:t>
            </w:r>
            <w:r>
              <w:rPr>
                <w:noProof/>
                <w:webHidden/>
              </w:rPr>
              <w:tab/>
            </w:r>
            <w:r>
              <w:rPr>
                <w:noProof/>
                <w:webHidden/>
              </w:rPr>
              <w:fldChar w:fldCharType="begin"/>
            </w:r>
            <w:r>
              <w:rPr>
                <w:noProof/>
                <w:webHidden/>
              </w:rPr>
              <w:instrText xml:space="preserve"> PAGEREF _Toc342825340 \h </w:instrText>
            </w:r>
            <w:r>
              <w:rPr>
                <w:noProof/>
                <w:webHidden/>
              </w:rPr>
            </w:r>
            <w:r>
              <w:rPr>
                <w:noProof/>
                <w:webHidden/>
              </w:rPr>
              <w:fldChar w:fldCharType="separate"/>
            </w:r>
            <w:r>
              <w:rPr>
                <w:noProof/>
                <w:webHidden/>
              </w:rPr>
              <w:t>17</w:t>
            </w:r>
            <w:r>
              <w:rPr>
                <w:noProof/>
                <w:webHidden/>
              </w:rPr>
              <w:fldChar w:fldCharType="end"/>
            </w:r>
          </w:hyperlink>
        </w:p>
        <w:p w:rsidR="00FF1C49" w:rsidRDefault="00FF1C49">
          <w:pPr>
            <w:pStyle w:val="TOC1"/>
            <w:tabs>
              <w:tab w:val="right" w:leader="dot" w:pos="9350"/>
            </w:tabs>
            <w:rPr>
              <w:rFonts w:eastAsiaTheme="minorEastAsia"/>
              <w:noProof/>
            </w:rPr>
          </w:pPr>
          <w:hyperlink w:anchor="_Toc342825341" w:history="1">
            <w:r w:rsidRPr="00443EFC">
              <w:rPr>
                <w:rStyle w:val="Hyperlink"/>
                <w:rFonts w:eastAsia="Times New Roman"/>
                <w:noProof/>
              </w:rPr>
              <w:t>APPENDIX 5 - Risk Analysis Calculations</w:t>
            </w:r>
            <w:r>
              <w:rPr>
                <w:noProof/>
                <w:webHidden/>
              </w:rPr>
              <w:tab/>
            </w:r>
            <w:r>
              <w:rPr>
                <w:noProof/>
                <w:webHidden/>
              </w:rPr>
              <w:fldChar w:fldCharType="begin"/>
            </w:r>
            <w:r>
              <w:rPr>
                <w:noProof/>
                <w:webHidden/>
              </w:rPr>
              <w:instrText xml:space="preserve"> PAGEREF _Toc342825341 \h </w:instrText>
            </w:r>
            <w:r>
              <w:rPr>
                <w:noProof/>
                <w:webHidden/>
              </w:rPr>
            </w:r>
            <w:r>
              <w:rPr>
                <w:noProof/>
                <w:webHidden/>
              </w:rPr>
              <w:fldChar w:fldCharType="separate"/>
            </w:r>
            <w:r>
              <w:rPr>
                <w:noProof/>
                <w:webHidden/>
              </w:rPr>
              <w:t>18</w:t>
            </w:r>
            <w:r>
              <w:rPr>
                <w:noProof/>
                <w:webHidden/>
              </w:rPr>
              <w:fldChar w:fldCharType="end"/>
            </w:r>
          </w:hyperlink>
        </w:p>
        <w:p w:rsidR="00FF1C49" w:rsidRDefault="00FF1C49">
          <w:pPr>
            <w:pStyle w:val="TOC2"/>
            <w:tabs>
              <w:tab w:val="right" w:leader="dot" w:pos="9350"/>
            </w:tabs>
            <w:rPr>
              <w:rFonts w:eastAsiaTheme="minorEastAsia"/>
              <w:noProof/>
            </w:rPr>
          </w:pPr>
          <w:hyperlink w:anchor="_Toc342825342" w:history="1">
            <w:r w:rsidRPr="00443EFC">
              <w:rPr>
                <w:rStyle w:val="Hyperlink"/>
                <w:rFonts w:eastAsia="Times New Roman"/>
                <w:noProof/>
              </w:rPr>
              <w:t>Regression Analysis</w:t>
            </w:r>
            <w:r>
              <w:rPr>
                <w:noProof/>
                <w:webHidden/>
              </w:rPr>
              <w:tab/>
            </w:r>
            <w:r>
              <w:rPr>
                <w:noProof/>
                <w:webHidden/>
              </w:rPr>
              <w:fldChar w:fldCharType="begin"/>
            </w:r>
            <w:r>
              <w:rPr>
                <w:noProof/>
                <w:webHidden/>
              </w:rPr>
              <w:instrText xml:space="preserve"> PAGEREF _Toc342825342 \h </w:instrText>
            </w:r>
            <w:r>
              <w:rPr>
                <w:noProof/>
                <w:webHidden/>
              </w:rPr>
            </w:r>
            <w:r>
              <w:rPr>
                <w:noProof/>
                <w:webHidden/>
              </w:rPr>
              <w:fldChar w:fldCharType="separate"/>
            </w:r>
            <w:r>
              <w:rPr>
                <w:noProof/>
                <w:webHidden/>
              </w:rPr>
              <w:t>18</w:t>
            </w:r>
            <w:r>
              <w:rPr>
                <w:noProof/>
                <w:webHidden/>
              </w:rPr>
              <w:fldChar w:fldCharType="end"/>
            </w:r>
          </w:hyperlink>
        </w:p>
        <w:p w:rsidR="00FF1C49" w:rsidRDefault="00FF1C49">
          <w:pPr>
            <w:pStyle w:val="TOC2"/>
            <w:tabs>
              <w:tab w:val="right" w:leader="dot" w:pos="9350"/>
            </w:tabs>
            <w:rPr>
              <w:rFonts w:eastAsiaTheme="minorEastAsia"/>
              <w:noProof/>
            </w:rPr>
          </w:pPr>
          <w:hyperlink w:anchor="_Toc342825343" w:history="1">
            <w:r w:rsidRPr="00443EFC">
              <w:rPr>
                <w:rStyle w:val="Hyperlink"/>
                <w:rFonts w:eastAsia="Times New Roman"/>
                <w:noProof/>
              </w:rPr>
              <w:t>Cost Of Equity</w:t>
            </w:r>
            <w:r>
              <w:rPr>
                <w:noProof/>
                <w:webHidden/>
              </w:rPr>
              <w:tab/>
            </w:r>
            <w:r>
              <w:rPr>
                <w:noProof/>
                <w:webHidden/>
              </w:rPr>
              <w:fldChar w:fldCharType="begin"/>
            </w:r>
            <w:r>
              <w:rPr>
                <w:noProof/>
                <w:webHidden/>
              </w:rPr>
              <w:instrText xml:space="preserve"> PAGEREF _Toc342825343 \h </w:instrText>
            </w:r>
            <w:r>
              <w:rPr>
                <w:noProof/>
                <w:webHidden/>
              </w:rPr>
            </w:r>
            <w:r>
              <w:rPr>
                <w:noProof/>
                <w:webHidden/>
              </w:rPr>
              <w:fldChar w:fldCharType="separate"/>
            </w:r>
            <w:r>
              <w:rPr>
                <w:noProof/>
                <w:webHidden/>
              </w:rPr>
              <w:t>21</w:t>
            </w:r>
            <w:r>
              <w:rPr>
                <w:noProof/>
                <w:webHidden/>
              </w:rPr>
              <w:fldChar w:fldCharType="end"/>
            </w:r>
          </w:hyperlink>
        </w:p>
        <w:p w:rsidR="00FF1C49" w:rsidRDefault="00FF1C49">
          <w:pPr>
            <w:pStyle w:val="TOC3"/>
            <w:tabs>
              <w:tab w:val="right" w:leader="dot" w:pos="9350"/>
            </w:tabs>
            <w:rPr>
              <w:rFonts w:eastAsiaTheme="minorEastAsia"/>
              <w:noProof/>
            </w:rPr>
          </w:pPr>
          <w:hyperlink w:anchor="_Toc342825344" w:history="1">
            <w:r w:rsidRPr="00443EFC">
              <w:rPr>
                <w:rStyle w:val="Hyperlink"/>
                <w:rFonts w:eastAsia="Times New Roman"/>
                <w:noProof/>
              </w:rPr>
              <w:t>Equation</w:t>
            </w:r>
            <w:r>
              <w:rPr>
                <w:noProof/>
                <w:webHidden/>
              </w:rPr>
              <w:tab/>
            </w:r>
            <w:r>
              <w:rPr>
                <w:noProof/>
                <w:webHidden/>
              </w:rPr>
              <w:fldChar w:fldCharType="begin"/>
            </w:r>
            <w:r>
              <w:rPr>
                <w:noProof/>
                <w:webHidden/>
              </w:rPr>
              <w:instrText xml:space="preserve"> PAGEREF _Toc342825344 \h </w:instrText>
            </w:r>
            <w:r>
              <w:rPr>
                <w:noProof/>
                <w:webHidden/>
              </w:rPr>
            </w:r>
            <w:r>
              <w:rPr>
                <w:noProof/>
                <w:webHidden/>
              </w:rPr>
              <w:fldChar w:fldCharType="separate"/>
            </w:r>
            <w:r>
              <w:rPr>
                <w:noProof/>
                <w:webHidden/>
              </w:rPr>
              <w:t>21</w:t>
            </w:r>
            <w:r>
              <w:rPr>
                <w:noProof/>
                <w:webHidden/>
              </w:rPr>
              <w:fldChar w:fldCharType="end"/>
            </w:r>
          </w:hyperlink>
        </w:p>
        <w:p w:rsidR="00FF1C49" w:rsidRDefault="00FF1C49">
          <w:pPr>
            <w:pStyle w:val="TOC3"/>
            <w:tabs>
              <w:tab w:val="right" w:leader="dot" w:pos="9350"/>
            </w:tabs>
            <w:rPr>
              <w:rFonts w:eastAsiaTheme="minorEastAsia"/>
              <w:noProof/>
            </w:rPr>
          </w:pPr>
          <w:hyperlink w:anchor="_Toc342825345" w:history="1">
            <w:r w:rsidRPr="00443EFC">
              <w:rPr>
                <w:rStyle w:val="Hyperlink"/>
                <w:rFonts w:eastAsia="Times New Roman"/>
                <w:noProof/>
              </w:rPr>
              <w:t>Variables</w:t>
            </w:r>
            <w:r>
              <w:rPr>
                <w:noProof/>
                <w:webHidden/>
              </w:rPr>
              <w:tab/>
            </w:r>
            <w:r>
              <w:rPr>
                <w:noProof/>
                <w:webHidden/>
              </w:rPr>
              <w:fldChar w:fldCharType="begin"/>
            </w:r>
            <w:r>
              <w:rPr>
                <w:noProof/>
                <w:webHidden/>
              </w:rPr>
              <w:instrText xml:space="preserve"> PAGEREF _Toc342825345 \h </w:instrText>
            </w:r>
            <w:r>
              <w:rPr>
                <w:noProof/>
                <w:webHidden/>
              </w:rPr>
            </w:r>
            <w:r>
              <w:rPr>
                <w:noProof/>
                <w:webHidden/>
              </w:rPr>
              <w:fldChar w:fldCharType="separate"/>
            </w:r>
            <w:r>
              <w:rPr>
                <w:noProof/>
                <w:webHidden/>
              </w:rPr>
              <w:t>21</w:t>
            </w:r>
            <w:r>
              <w:rPr>
                <w:noProof/>
                <w:webHidden/>
              </w:rPr>
              <w:fldChar w:fldCharType="end"/>
            </w:r>
          </w:hyperlink>
        </w:p>
        <w:p w:rsidR="00FF1C49" w:rsidRDefault="00FF1C49">
          <w:pPr>
            <w:pStyle w:val="TOC3"/>
            <w:tabs>
              <w:tab w:val="right" w:leader="dot" w:pos="9350"/>
            </w:tabs>
            <w:rPr>
              <w:rFonts w:eastAsiaTheme="minorEastAsia"/>
              <w:noProof/>
            </w:rPr>
          </w:pPr>
          <w:hyperlink w:anchor="_Toc342825346" w:history="1">
            <w:r w:rsidRPr="00443EFC">
              <w:rPr>
                <w:rStyle w:val="Hyperlink"/>
                <w:rFonts w:eastAsia="Times New Roman"/>
                <w:noProof/>
              </w:rPr>
              <w:t>Output</w:t>
            </w:r>
            <w:r>
              <w:rPr>
                <w:noProof/>
                <w:webHidden/>
              </w:rPr>
              <w:tab/>
            </w:r>
            <w:r>
              <w:rPr>
                <w:noProof/>
                <w:webHidden/>
              </w:rPr>
              <w:fldChar w:fldCharType="begin"/>
            </w:r>
            <w:r>
              <w:rPr>
                <w:noProof/>
                <w:webHidden/>
              </w:rPr>
              <w:instrText xml:space="preserve"> PAGEREF _Toc342825346 \h </w:instrText>
            </w:r>
            <w:r>
              <w:rPr>
                <w:noProof/>
                <w:webHidden/>
              </w:rPr>
            </w:r>
            <w:r>
              <w:rPr>
                <w:noProof/>
                <w:webHidden/>
              </w:rPr>
              <w:fldChar w:fldCharType="separate"/>
            </w:r>
            <w:r>
              <w:rPr>
                <w:noProof/>
                <w:webHidden/>
              </w:rPr>
              <w:t>21</w:t>
            </w:r>
            <w:r>
              <w:rPr>
                <w:noProof/>
                <w:webHidden/>
              </w:rPr>
              <w:fldChar w:fldCharType="end"/>
            </w:r>
          </w:hyperlink>
        </w:p>
        <w:p w:rsidR="00FF1C49" w:rsidRDefault="00FF1C49">
          <w:pPr>
            <w:pStyle w:val="TOC2"/>
            <w:tabs>
              <w:tab w:val="right" w:leader="dot" w:pos="9350"/>
            </w:tabs>
            <w:rPr>
              <w:rFonts w:eastAsiaTheme="minorEastAsia"/>
              <w:noProof/>
            </w:rPr>
          </w:pPr>
          <w:hyperlink w:anchor="_Toc342825347" w:history="1">
            <w:r w:rsidRPr="00443EFC">
              <w:rPr>
                <w:rStyle w:val="Hyperlink"/>
                <w:rFonts w:eastAsia="Times New Roman"/>
                <w:noProof/>
              </w:rPr>
              <w:t>Cost of Debt</w:t>
            </w:r>
            <w:r>
              <w:rPr>
                <w:noProof/>
                <w:webHidden/>
              </w:rPr>
              <w:tab/>
            </w:r>
            <w:r>
              <w:rPr>
                <w:noProof/>
                <w:webHidden/>
              </w:rPr>
              <w:fldChar w:fldCharType="begin"/>
            </w:r>
            <w:r>
              <w:rPr>
                <w:noProof/>
                <w:webHidden/>
              </w:rPr>
              <w:instrText xml:space="preserve"> PAGEREF _Toc342825347 \h </w:instrText>
            </w:r>
            <w:r>
              <w:rPr>
                <w:noProof/>
                <w:webHidden/>
              </w:rPr>
            </w:r>
            <w:r>
              <w:rPr>
                <w:noProof/>
                <w:webHidden/>
              </w:rPr>
              <w:fldChar w:fldCharType="separate"/>
            </w:r>
            <w:r>
              <w:rPr>
                <w:noProof/>
                <w:webHidden/>
              </w:rPr>
              <w:t>21</w:t>
            </w:r>
            <w:r>
              <w:rPr>
                <w:noProof/>
                <w:webHidden/>
              </w:rPr>
              <w:fldChar w:fldCharType="end"/>
            </w:r>
          </w:hyperlink>
        </w:p>
        <w:p w:rsidR="00FF1C49" w:rsidRDefault="00FF1C49">
          <w:pPr>
            <w:pStyle w:val="TOC1"/>
            <w:tabs>
              <w:tab w:val="right" w:leader="dot" w:pos="9350"/>
            </w:tabs>
            <w:rPr>
              <w:rFonts w:eastAsiaTheme="minorEastAsia"/>
              <w:noProof/>
            </w:rPr>
          </w:pPr>
          <w:hyperlink w:anchor="_Toc342825348" w:history="1">
            <w:r w:rsidRPr="00443EFC">
              <w:rPr>
                <w:rStyle w:val="Hyperlink"/>
                <w:noProof/>
              </w:rPr>
              <w:t>APPENDIX 6 – Discounted Free Cashflow Model</w:t>
            </w:r>
            <w:r>
              <w:rPr>
                <w:noProof/>
                <w:webHidden/>
              </w:rPr>
              <w:tab/>
            </w:r>
            <w:r>
              <w:rPr>
                <w:noProof/>
                <w:webHidden/>
              </w:rPr>
              <w:fldChar w:fldCharType="begin"/>
            </w:r>
            <w:r>
              <w:rPr>
                <w:noProof/>
                <w:webHidden/>
              </w:rPr>
              <w:instrText xml:space="preserve"> PAGEREF _Toc342825348 \h </w:instrText>
            </w:r>
            <w:r>
              <w:rPr>
                <w:noProof/>
                <w:webHidden/>
              </w:rPr>
            </w:r>
            <w:r>
              <w:rPr>
                <w:noProof/>
                <w:webHidden/>
              </w:rPr>
              <w:fldChar w:fldCharType="separate"/>
            </w:r>
            <w:r>
              <w:rPr>
                <w:noProof/>
                <w:webHidden/>
              </w:rPr>
              <w:t>22</w:t>
            </w:r>
            <w:r>
              <w:rPr>
                <w:noProof/>
                <w:webHidden/>
              </w:rPr>
              <w:fldChar w:fldCharType="end"/>
            </w:r>
          </w:hyperlink>
        </w:p>
        <w:p w:rsidR="00FF1C49" w:rsidRDefault="00FF1C49">
          <w:pPr>
            <w:pStyle w:val="TOC1"/>
            <w:tabs>
              <w:tab w:val="right" w:leader="dot" w:pos="9350"/>
            </w:tabs>
            <w:rPr>
              <w:rFonts w:eastAsiaTheme="minorEastAsia"/>
              <w:noProof/>
            </w:rPr>
          </w:pPr>
          <w:hyperlink w:anchor="_Toc342825349" w:history="1">
            <w:r w:rsidRPr="00443EFC">
              <w:rPr>
                <w:rStyle w:val="Hyperlink"/>
                <w:noProof/>
              </w:rPr>
              <w:t>APPENDIX 7 – Dividend Discount Model</w:t>
            </w:r>
            <w:r>
              <w:rPr>
                <w:noProof/>
                <w:webHidden/>
              </w:rPr>
              <w:tab/>
            </w:r>
            <w:r>
              <w:rPr>
                <w:noProof/>
                <w:webHidden/>
              </w:rPr>
              <w:fldChar w:fldCharType="begin"/>
            </w:r>
            <w:r>
              <w:rPr>
                <w:noProof/>
                <w:webHidden/>
              </w:rPr>
              <w:instrText xml:space="preserve"> PAGEREF _Toc342825349 \h </w:instrText>
            </w:r>
            <w:r>
              <w:rPr>
                <w:noProof/>
                <w:webHidden/>
              </w:rPr>
            </w:r>
            <w:r>
              <w:rPr>
                <w:noProof/>
                <w:webHidden/>
              </w:rPr>
              <w:fldChar w:fldCharType="separate"/>
            </w:r>
            <w:r>
              <w:rPr>
                <w:noProof/>
                <w:webHidden/>
              </w:rPr>
              <w:t>22</w:t>
            </w:r>
            <w:r>
              <w:rPr>
                <w:noProof/>
                <w:webHidden/>
              </w:rPr>
              <w:fldChar w:fldCharType="end"/>
            </w:r>
          </w:hyperlink>
        </w:p>
        <w:p w:rsidR="00FF1C49" w:rsidRDefault="00FF1C49">
          <w:pPr>
            <w:pStyle w:val="TOC1"/>
            <w:tabs>
              <w:tab w:val="right" w:leader="dot" w:pos="9350"/>
            </w:tabs>
            <w:rPr>
              <w:rFonts w:eastAsiaTheme="minorEastAsia"/>
              <w:noProof/>
            </w:rPr>
          </w:pPr>
          <w:hyperlink w:anchor="_Toc342825350" w:history="1">
            <w:r w:rsidRPr="00443EFC">
              <w:rPr>
                <w:rStyle w:val="Hyperlink"/>
                <w:noProof/>
              </w:rPr>
              <w:t>REFERENCES</w:t>
            </w:r>
            <w:r>
              <w:rPr>
                <w:noProof/>
                <w:webHidden/>
              </w:rPr>
              <w:tab/>
            </w:r>
            <w:r>
              <w:rPr>
                <w:noProof/>
                <w:webHidden/>
              </w:rPr>
              <w:fldChar w:fldCharType="begin"/>
            </w:r>
            <w:r>
              <w:rPr>
                <w:noProof/>
                <w:webHidden/>
              </w:rPr>
              <w:instrText xml:space="preserve"> PAGEREF _Toc342825350 \h </w:instrText>
            </w:r>
            <w:r>
              <w:rPr>
                <w:noProof/>
                <w:webHidden/>
              </w:rPr>
            </w:r>
            <w:r>
              <w:rPr>
                <w:noProof/>
                <w:webHidden/>
              </w:rPr>
              <w:fldChar w:fldCharType="separate"/>
            </w:r>
            <w:r>
              <w:rPr>
                <w:noProof/>
                <w:webHidden/>
              </w:rPr>
              <w:t>23</w:t>
            </w:r>
            <w:r>
              <w:rPr>
                <w:noProof/>
                <w:webHidden/>
              </w:rPr>
              <w:fldChar w:fldCharType="end"/>
            </w:r>
          </w:hyperlink>
        </w:p>
        <w:p w:rsidR="00FF1C49" w:rsidRDefault="00FF1C49">
          <w:pPr>
            <w:pStyle w:val="TOC2"/>
            <w:tabs>
              <w:tab w:val="right" w:leader="dot" w:pos="9350"/>
            </w:tabs>
            <w:rPr>
              <w:rFonts w:eastAsiaTheme="minorEastAsia"/>
              <w:noProof/>
            </w:rPr>
          </w:pPr>
          <w:hyperlink w:anchor="_Toc342825351" w:history="1">
            <w:r w:rsidRPr="00443EFC">
              <w:rPr>
                <w:rStyle w:val="Hyperlink"/>
                <w:noProof/>
              </w:rPr>
              <w:t>1) Fluor Corporation Form 10-K FYE December 31, 2011.</w:t>
            </w:r>
            <w:r w:rsidRPr="00443EFC">
              <w:rPr>
                <w:rStyle w:val="Hyperlink"/>
                <w:rFonts w:ascii="Times New Roman" w:eastAsia="Times New Roman" w:hAnsi="Times New Roman" w:cs="Times New Roman"/>
                <w:noProof/>
              </w:rPr>
              <w:t xml:space="preserve"> SEC.gov article</w:t>
            </w:r>
            <w:r>
              <w:rPr>
                <w:noProof/>
                <w:webHidden/>
              </w:rPr>
              <w:tab/>
            </w:r>
            <w:r>
              <w:rPr>
                <w:noProof/>
                <w:webHidden/>
              </w:rPr>
              <w:fldChar w:fldCharType="begin"/>
            </w:r>
            <w:r>
              <w:rPr>
                <w:noProof/>
                <w:webHidden/>
              </w:rPr>
              <w:instrText xml:space="preserve"> PAGEREF _Toc342825351 \h </w:instrText>
            </w:r>
            <w:r>
              <w:rPr>
                <w:noProof/>
                <w:webHidden/>
              </w:rPr>
            </w:r>
            <w:r>
              <w:rPr>
                <w:noProof/>
                <w:webHidden/>
              </w:rPr>
              <w:fldChar w:fldCharType="separate"/>
            </w:r>
            <w:r>
              <w:rPr>
                <w:noProof/>
                <w:webHidden/>
              </w:rPr>
              <w:t>23</w:t>
            </w:r>
            <w:r>
              <w:rPr>
                <w:noProof/>
                <w:webHidden/>
              </w:rPr>
              <w:fldChar w:fldCharType="end"/>
            </w:r>
          </w:hyperlink>
        </w:p>
        <w:p w:rsidR="00FF1C49" w:rsidRDefault="00FF1C49">
          <w:pPr>
            <w:pStyle w:val="TOC2"/>
            <w:tabs>
              <w:tab w:val="right" w:leader="dot" w:pos="9350"/>
            </w:tabs>
            <w:rPr>
              <w:rFonts w:eastAsiaTheme="minorEastAsia"/>
              <w:noProof/>
            </w:rPr>
          </w:pPr>
          <w:hyperlink w:anchor="_Toc342825352" w:history="1">
            <w:r w:rsidRPr="00443EFC">
              <w:rPr>
                <w:rStyle w:val="Hyperlink"/>
                <w:noProof/>
              </w:rPr>
              <w:t>2)  Jacob’s Engineering Group Inc. 10-K FYE September 30, 2011.</w:t>
            </w:r>
            <w:r w:rsidRPr="00443EFC">
              <w:rPr>
                <w:rStyle w:val="Hyperlink"/>
                <w:rFonts w:ascii="Times New Roman" w:eastAsia="Times New Roman" w:hAnsi="Times New Roman" w:cs="Times New Roman"/>
                <w:noProof/>
              </w:rPr>
              <w:t xml:space="preserve"> SEC.gov article.</w:t>
            </w:r>
            <w:r>
              <w:rPr>
                <w:noProof/>
                <w:webHidden/>
              </w:rPr>
              <w:tab/>
            </w:r>
            <w:r>
              <w:rPr>
                <w:noProof/>
                <w:webHidden/>
              </w:rPr>
              <w:fldChar w:fldCharType="begin"/>
            </w:r>
            <w:r>
              <w:rPr>
                <w:noProof/>
                <w:webHidden/>
              </w:rPr>
              <w:instrText xml:space="preserve"> PAGEREF _Toc342825352 \h </w:instrText>
            </w:r>
            <w:r>
              <w:rPr>
                <w:noProof/>
                <w:webHidden/>
              </w:rPr>
            </w:r>
            <w:r>
              <w:rPr>
                <w:noProof/>
                <w:webHidden/>
              </w:rPr>
              <w:fldChar w:fldCharType="separate"/>
            </w:r>
            <w:r>
              <w:rPr>
                <w:noProof/>
                <w:webHidden/>
              </w:rPr>
              <w:t>23</w:t>
            </w:r>
            <w:r>
              <w:rPr>
                <w:noProof/>
                <w:webHidden/>
              </w:rPr>
              <w:fldChar w:fldCharType="end"/>
            </w:r>
          </w:hyperlink>
        </w:p>
        <w:p w:rsidR="00FF1C49" w:rsidRDefault="00FF1C49">
          <w:pPr>
            <w:pStyle w:val="TOC2"/>
            <w:tabs>
              <w:tab w:val="right" w:leader="dot" w:pos="9350"/>
            </w:tabs>
            <w:rPr>
              <w:rFonts w:eastAsiaTheme="minorEastAsia"/>
              <w:noProof/>
            </w:rPr>
          </w:pPr>
          <w:hyperlink w:anchor="_Toc342825353" w:history="1">
            <w:r w:rsidRPr="00443EFC">
              <w:rPr>
                <w:rStyle w:val="Hyperlink"/>
                <w:noProof/>
              </w:rPr>
              <w:t>3)  SAIC, Inc. 10-K FYE January 31, 2012.</w:t>
            </w:r>
            <w:r w:rsidRPr="00443EFC">
              <w:rPr>
                <w:rStyle w:val="Hyperlink"/>
                <w:rFonts w:ascii="Times New Roman" w:eastAsia="Times New Roman" w:hAnsi="Times New Roman" w:cs="Times New Roman"/>
                <w:noProof/>
              </w:rPr>
              <w:t xml:space="preserve"> SEC.gov article.</w:t>
            </w:r>
            <w:r>
              <w:rPr>
                <w:noProof/>
                <w:webHidden/>
              </w:rPr>
              <w:tab/>
            </w:r>
            <w:r>
              <w:rPr>
                <w:noProof/>
                <w:webHidden/>
              </w:rPr>
              <w:fldChar w:fldCharType="begin"/>
            </w:r>
            <w:r>
              <w:rPr>
                <w:noProof/>
                <w:webHidden/>
              </w:rPr>
              <w:instrText xml:space="preserve"> PAGEREF _Toc342825353 \h </w:instrText>
            </w:r>
            <w:r>
              <w:rPr>
                <w:noProof/>
                <w:webHidden/>
              </w:rPr>
            </w:r>
            <w:r>
              <w:rPr>
                <w:noProof/>
                <w:webHidden/>
              </w:rPr>
              <w:fldChar w:fldCharType="separate"/>
            </w:r>
            <w:r>
              <w:rPr>
                <w:noProof/>
                <w:webHidden/>
              </w:rPr>
              <w:t>23</w:t>
            </w:r>
            <w:r>
              <w:rPr>
                <w:noProof/>
                <w:webHidden/>
              </w:rPr>
              <w:fldChar w:fldCharType="end"/>
            </w:r>
          </w:hyperlink>
        </w:p>
        <w:p w:rsidR="00FF1C49" w:rsidRDefault="00FF1C49">
          <w:pPr>
            <w:pStyle w:val="TOC2"/>
            <w:tabs>
              <w:tab w:val="right" w:leader="dot" w:pos="9350"/>
            </w:tabs>
            <w:rPr>
              <w:rFonts w:eastAsiaTheme="minorEastAsia"/>
              <w:noProof/>
            </w:rPr>
          </w:pPr>
          <w:hyperlink w:anchor="_Toc342825354" w:history="1">
            <w:r w:rsidRPr="00443EFC">
              <w:rPr>
                <w:rStyle w:val="Hyperlink"/>
                <w:noProof/>
              </w:rPr>
              <w:t>4) Wotapka, Dawn.</w:t>
            </w:r>
            <w:r w:rsidRPr="00443EFC">
              <w:rPr>
                <w:rStyle w:val="Hyperlink"/>
                <w:rFonts w:ascii="Times New Roman" w:eastAsia="Times New Roman" w:hAnsi="Times New Roman" w:cs="Times New Roman"/>
                <w:noProof/>
              </w:rPr>
              <w:t xml:space="preserve"> </w:t>
            </w:r>
            <w:r w:rsidRPr="00443EFC">
              <w:rPr>
                <w:rStyle w:val="Hyperlink"/>
                <w:rFonts w:ascii="Times New Roman" w:eastAsia="Times New Roman" w:hAnsi="Times New Roman" w:cs="Times New Roman"/>
                <w:i/>
                <w:iCs/>
                <w:noProof/>
              </w:rPr>
              <w:t>Construction Industry Forecast to Rebound in 2010.</w:t>
            </w:r>
            <w:r w:rsidRPr="00443EFC">
              <w:rPr>
                <w:rStyle w:val="Hyperlink"/>
                <w:rFonts w:ascii="Times New Roman" w:eastAsia="Times New Roman" w:hAnsi="Times New Roman" w:cs="Times New Roman"/>
                <w:noProof/>
              </w:rPr>
              <w:t xml:space="preserve"> Wall Street Journal. October 16, 2009. Online Article.</w:t>
            </w:r>
            <w:r>
              <w:rPr>
                <w:noProof/>
                <w:webHidden/>
              </w:rPr>
              <w:tab/>
            </w:r>
            <w:r>
              <w:rPr>
                <w:noProof/>
                <w:webHidden/>
              </w:rPr>
              <w:fldChar w:fldCharType="begin"/>
            </w:r>
            <w:r>
              <w:rPr>
                <w:noProof/>
                <w:webHidden/>
              </w:rPr>
              <w:instrText xml:space="preserve"> PAGEREF _Toc342825354 \h </w:instrText>
            </w:r>
            <w:r>
              <w:rPr>
                <w:noProof/>
                <w:webHidden/>
              </w:rPr>
            </w:r>
            <w:r>
              <w:rPr>
                <w:noProof/>
                <w:webHidden/>
              </w:rPr>
              <w:fldChar w:fldCharType="separate"/>
            </w:r>
            <w:r>
              <w:rPr>
                <w:noProof/>
                <w:webHidden/>
              </w:rPr>
              <w:t>23</w:t>
            </w:r>
            <w:r>
              <w:rPr>
                <w:noProof/>
                <w:webHidden/>
              </w:rPr>
              <w:fldChar w:fldCharType="end"/>
            </w:r>
          </w:hyperlink>
        </w:p>
        <w:p w:rsidR="0015243A" w:rsidRDefault="0015243A" w:rsidP="0015243A">
          <w:pPr>
            <w:spacing w:line="480" w:lineRule="auto"/>
          </w:pPr>
          <w:r>
            <w:rPr>
              <w:b/>
              <w:bCs/>
              <w:noProof/>
            </w:rPr>
            <w:fldChar w:fldCharType="end"/>
          </w:r>
        </w:p>
      </w:sdtContent>
    </w:sdt>
    <w:p w:rsidR="0015243A" w:rsidRDefault="0015243A" w:rsidP="0015243A">
      <w:pPr>
        <w:spacing w:after="240" w:line="480" w:lineRule="auto"/>
        <w:rPr>
          <w:rFonts w:ascii="Times New Roman" w:eastAsia="Times New Roman" w:hAnsi="Times New Roman" w:cs="Times New Roman"/>
          <w:b/>
          <w:bCs/>
          <w:color w:val="000000"/>
          <w:sz w:val="24"/>
          <w:szCs w:val="24"/>
        </w:rPr>
      </w:pPr>
    </w:p>
    <w:p w:rsidR="0015243A" w:rsidRDefault="0015243A" w:rsidP="0015243A">
      <w:pPr>
        <w:spacing w:after="240" w:line="480" w:lineRule="auto"/>
        <w:rPr>
          <w:rFonts w:ascii="Times New Roman" w:eastAsia="Times New Roman" w:hAnsi="Times New Roman" w:cs="Times New Roman"/>
          <w:b/>
          <w:bCs/>
          <w:color w:val="000000"/>
          <w:sz w:val="24"/>
          <w:szCs w:val="24"/>
        </w:rPr>
      </w:pPr>
      <w:r w:rsidRPr="0015243A">
        <w:rPr>
          <w:rFonts w:ascii="Times New Roman" w:eastAsia="Times New Roman" w:hAnsi="Times New Roman" w:cs="Times New Roman"/>
          <w:sz w:val="24"/>
          <w:szCs w:val="24"/>
        </w:rPr>
        <w:br/>
      </w:r>
    </w:p>
    <w:p w:rsidR="0015243A" w:rsidRDefault="0015243A" w:rsidP="0015243A">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15243A" w:rsidRPr="0015243A" w:rsidRDefault="0015243A" w:rsidP="0015243A">
      <w:pPr>
        <w:pStyle w:val="Heading1"/>
        <w:spacing w:line="480" w:lineRule="auto"/>
        <w:rPr>
          <w:rFonts w:eastAsia="Times New Roman"/>
        </w:rPr>
      </w:pPr>
      <w:bookmarkStart w:id="0" w:name="_Toc342825321"/>
      <w:r w:rsidRPr="0015243A">
        <w:rPr>
          <w:rFonts w:eastAsia="Times New Roman"/>
        </w:rPr>
        <w:lastRenderedPageBreak/>
        <w:t>Executive Summary</w:t>
      </w:r>
      <w:bookmarkEnd w:id="0"/>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Fluor Corporation provides construction services on massive scales to a wide range of customers, including government agencies.  The construction industry is highly influenced by many economic factors that greatly impact the financial standing of the company.  This report will review the last five years of Fluor financial statements to compare specific benchmarks against competitors, risk analysis for investment consideration, and valuation models to determine the strength of the company.  Each part of the analysis will be used to determine whether or not we feel that Fluor currently presents itself as an attractive company for investors to invest in.  The Appendices contain further notes that give insight to industry trends and assumptions as to why the financials became the way they were. </w:t>
      </w:r>
    </w:p>
    <w:p w:rsidR="0015243A" w:rsidRDefault="0015243A" w:rsidP="0015243A">
      <w:pPr>
        <w:spacing w:after="0" w:line="480" w:lineRule="auto"/>
        <w:ind w:firstLine="720"/>
        <w:rPr>
          <w:rFonts w:ascii="Times New Roman" w:eastAsia="Times New Roman" w:hAnsi="Times New Roman" w:cs="Times New Roman"/>
          <w:color w:val="000000"/>
          <w:sz w:val="24"/>
          <w:szCs w:val="24"/>
        </w:rPr>
      </w:pPr>
      <w:r w:rsidRPr="0015243A">
        <w:rPr>
          <w:rFonts w:ascii="Times New Roman" w:eastAsia="Times New Roman" w:hAnsi="Times New Roman" w:cs="Times New Roman"/>
          <w:color w:val="000000"/>
          <w:sz w:val="24"/>
          <w:szCs w:val="24"/>
        </w:rPr>
        <w:t xml:space="preserve">To better understand Fluor Corporation’s financial foundation, the following ratios are considered for the five most recent years of released financials ending in 2011 and compared against its two major competitors in the industry, SAIC and Jacobs Engineering. To measure comparative profitability, Return on Assets (ROA), Return on Equity (ROE), and the margin of Earnings Before Interest, Taxes, Depreciation and Amortization (EBITDA) for each company are considered. To measure their liquidity, a conservative approach is taken and the quick ratio is computed for comparison. Total debt to equity is used to understand each company’s debt management while total asset turnover and receivables turnover are used to assess a company’s asset management. Last but not least, cash flow per share is used to see how the market values each company’s ability to generate cash. </w:t>
      </w:r>
    </w:p>
    <w:p w:rsidR="0015243A" w:rsidRDefault="0015243A" w:rsidP="0015243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5243A" w:rsidRPr="0015243A" w:rsidRDefault="0015243A" w:rsidP="0015243A">
      <w:pPr>
        <w:pStyle w:val="Heading1"/>
        <w:spacing w:line="480" w:lineRule="auto"/>
        <w:rPr>
          <w:rFonts w:eastAsia="Times New Roman"/>
        </w:rPr>
      </w:pPr>
      <w:bookmarkStart w:id="1" w:name="_Toc342825322"/>
      <w:r w:rsidRPr="0015243A">
        <w:rPr>
          <w:rFonts w:eastAsia="Times New Roman"/>
        </w:rPr>
        <w:lastRenderedPageBreak/>
        <w:t>I. Financial Analysis</w:t>
      </w:r>
      <w:bookmarkEnd w:id="1"/>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The calculation of  Fluor’s ratios for year ending 12/31/2011 were derived using financials taken off the SEC Edgar website as shown in </w:t>
      </w:r>
      <w:r w:rsidRPr="00A62D34">
        <w:rPr>
          <w:rFonts w:ascii="Times New Roman" w:eastAsia="Times New Roman" w:hAnsi="Times New Roman" w:cs="Times New Roman"/>
          <w:sz w:val="24"/>
          <w:szCs w:val="24"/>
        </w:rPr>
        <w:t>Appendix 2</w:t>
      </w:r>
      <w:r w:rsidRPr="0015243A">
        <w:rPr>
          <w:rFonts w:ascii="Times New Roman" w:eastAsia="Times New Roman" w:hAnsi="Times New Roman" w:cs="Times New Roman"/>
          <w:color w:val="000000"/>
          <w:sz w:val="24"/>
          <w:szCs w:val="24"/>
        </w:rPr>
        <w:t xml:space="preserve"> but for consistency ratios taken from </w:t>
      </w:r>
      <w:proofErr w:type="spellStart"/>
      <w:r w:rsidRPr="0015243A">
        <w:rPr>
          <w:rFonts w:ascii="Times New Roman" w:eastAsia="Times New Roman" w:hAnsi="Times New Roman" w:cs="Times New Roman"/>
          <w:color w:val="000000"/>
          <w:sz w:val="24"/>
          <w:szCs w:val="24"/>
        </w:rPr>
        <w:t>Mergent</w:t>
      </w:r>
      <w:proofErr w:type="spellEnd"/>
      <w:r w:rsidRPr="0015243A">
        <w:rPr>
          <w:rFonts w:ascii="Times New Roman" w:eastAsia="Times New Roman" w:hAnsi="Times New Roman" w:cs="Times New Roman"/>
          <w:color w:val="000000"/>
          <w:sz w:val="24"/>
          <w:szCs w:val="24"/>
        </w:rPr>
        <w:t xml:space="preserve"> for all five years and for Fluor’s competitors were used (</w:t>
      </w:r>
      <w:r w:rsidRPr="00A62D34">
        <w:rPr>
          <w:rFonts w:ascii="Times New Roman" w:eastAsia="Times New Roman" w:hAnsi="Times New Roman" w:cs="Times New Roman"/>
          <w:i/>
          <w:iCs/>
          <w:sz w:val="24"/>
          <w:szCs w:val="24"/>
        </w:rPr>
        <w:t>Appendix 3</w:t>
      </w:r>
      <w:r w:rsidRPr="0015243A">
        <w:rPr>
          <w:rFonts w:ascii="Times New Roman" w:eastAsia="Times New Roman" w:hAnsi="Times New Roman" w:cs="Times New Roman"/>
          <w:i/>
          <w:iCs/>
          <w:color w:val="000000"/>
          <w:sz w:val="24"/>
          <w:szCs w:val="24"/>
        </w:rPr>
        <w:t>)</w:t>
      </w:r>
      <w:r w:rsidRPr="0015243A">
        <w:rPr>
          <w:rFonts w:ascii="Times New Roman" w:eastAsia="Times New Roman" w:hAnsi="Times New Roman" w:cs="Times New Roman"/>
          <w:color w:val="000000"/>
          <w:sz w:val="24"/>
          <w:szCs w:val="24"/>
        </w:rPr>
        <w:t xml:space="preserve">. Fluor’s ROA% reflects a positive relationship with the construction industry, drastically decreasing from 11.76% in 2008 to 4.83% in 2010.  This negative trend was significantly impacted by the housing marketing drop and the world financial declines during this period.  Fluor’s other financial statements show that the decrease in ROA was due to a decrease in revenue, thereby lowering net income.  Although the ROA for fiscal year ending in 2011 recovered slightly (7.48%), the five-year trend line indicates a continued decrease in ROA%.  Regardless of this trend in return, total assets for Fluor continued to grow steadily. In comparison with its competitors, the trend of ROA % remains similar however it was much more drastic for SAIC whose net income decreased by $560 million due to a decrease in continuing operations (SAIC Form 10-K FYE 2012, MD&amp;A). </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Compared to its nearest competitors in the industry, Fluor has a higher ROE% (</w:t>
      </w:r>
      <w:r w:rsidRPr="00A62D34">
        <w:rPr>
          <w:rFonts w:ascii="Times New Roman" w:eastAsia="Times New Roman" w:hAnsi="Times New Roman" w:cs="Times New Roman"/>
          <w:i/>
          <w:iCs/>
          <w:sz w:val="24"/>
          <w:szCs w:val="24"/>
        </w:rPr>
        <w:t>Appendix 3</w:t>
      </w:r>
      <w:r w:rsidRPr="0015243A">
        <w:rPr>
          <w:rFonts w:ascii="Times New Roman" w:eastAsia="Times New Roman" w:hAnsi="Times New Roman" w:cs="Times New Roman"/>
          <w:i/>
          <w:iCs/>
          <w:color w:val="000000"/>
          <w:sz w:val="24"/>
          <w:szCs w:val="24"/>
        </w:rPr>
        <w:t xml:space="preserve">), </w:t>
      </w:r>
      <w:r w:rsidRPr="0015243A">
        <w:rPr>
          <w:rFonts w:ascii="Times New Roman" w:eastAsia="Times New Roman" w:hAnsi="Times New Roman" w:cs="Times New Roman"/>
          <w:color w:val="000000"/>
          <w:sz w:val="24"/>
          <w:szCs w:val="24"/>
        </w:rPr>
        <w:t>indicating that management is able to better utilize the company’s equity.  The pattern of return mimics that of the ROA%.  The housing and financial market volatility from 2008 to 2010 contributed to a negative trend line over the past five years.  With an increased ROE% in their last fiscal year (from 10.51% to 17.23%), there is some optimism that Fluor’s management are finding ways to positively use the equity of the company.</w:t>
      </w:r>
    </w:p>
    <w:p w:rsidR="0015243A" w:rsidRPr="0015243A" w:rsidRDefault="0015243A" w:rsidP="0015243A">
      <w:pPr>
        <w:spacing w:after="0" w:line="480" w:lineRule="auto"/>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    Fluor’s </w:t>
      </w:r>
      <w:r w:rsidRPr="00A62D34">
        <w:rPr>
          <w:rFonts w:ascii="Times New Roman" w:eastAsia="Times New Roman" w:hAnsi="Times New Roman" w:cs="Times New Roman"/>
          <w:sz w:val="24"/>
          <w:szCs w:val="24"/>
        </w:rPr>
        <w:t>EBITDA</w:t>
      </w:r>
      <w:r w:rsidRPr="0015243A">
        <w:rPr>
          <w:rFonts w:ascii="Times New Roman" w:eastAsia="Times New Roman" w:hAnsi="Times New Roman" w:cs="Times New Roman"/>
          <w:color w:val="000000"/>
          <w:sz w:val="24"/>
          <w:szCs w:val="24"/>
        </w:rPr>
        <w:t xml:space="preserve"> during the five years in general has a downward trend which suggests that the company’s profitability and cash flow generating ability is slightly compromised.  However, by looking at the financials on the SEC Edgar site, one can note that Fluor had more than $21 million in interest income whereas JEC only had around $4 million in 2010  which is not reflected when calculating </w:t>
      </w:r>
      <w:r w:rsidRPr="0015243A">
        <w:rPr>
          <w:rFonts w:ascii="Times New Roman" w:eastAsia="Times New Roman" w:hAnsi="Times New Roman" w:cs="Times New Roman"/>
          <w:color w:val="000000"/>
          <w:sz w:val="24"/>
          <w:szCs w:val="24"/>
        </w:rPr>
        <w:lastRenderedPageBreak/>
        <w:t>EBITDA. As shown in Appendix 3, the general trend of EBITDA across the industry was similar in exception to SAIC which  grew in 2010 and dropped in 2011 to slightly below industry average. This can be explained in that SAIC’s business is aligned with different industry segments other than construction so it is possible that SAIC’s other operations carried the company during the dip in 2010 that affected those in the construction industry.</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Further in defense, Fluor has a very solid </w:t>
      </w:r>
      <w:r w:rsidRPr="00A62D34">
        <w:rPr>
          <w:rFonts w:ascii="Times New Roman" w:eastAsia="Times New Roman" w:hAnsi="Times New Roman" w:cs="Times New Roman"/>
          <w:sz w:val="24"/>
          <w:szCs w:val="24"/>
        </w:rPr>
        <w:t>quick ratio</w:t>
      </w:r>
      <w:r w:rsidRPr="0015243A">
        <w:rPr>
          <w:rFonts w:ascii="Times New Roman" w:eastAsia="Times New Roman" w:hAnsi="Times New Roman" w:cs="Times New Roman"/>
          <w:color w:val="000000"/>
          <w:sz w:val="24"/>
          <w:szCs w:val="24"/>
        </w:rPr>
        <w:t xml:space="preserve"> near 1 which suggests that the company is in good condition to pay off its current liabilities. However, when compared with its competitors whose quick ratios are more than one, it only shows that Fluor is more willing to invest its cash and liquid assets rather than holding on to them. Across the five years, the trend between the companies are similar. They all had larger quick ratios between the years 2008-2010 which dropped back down in 2011 which suggests the market is getting better as companies are less worried about holding liquid assets on hand to repay current liabilities.   </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Fluor’s </w:t>
      </w:r>
      <w:r w:rsidRPr="00A62D34">
        <w:rPr>
          <w:rFonts w:ascii="Times New Roman" w:eastAsia="Times New Roman" w:hAnsi="Times New Roman" w:cs="Times New Roman"/>
          <w:sz w:val="24"/>
          <w:szCs w:val="24"/>
        </w:rPr>
        <w:t>total debt to equity ratio</w:t>
      </w:r>
      <w:r w:rsidRPr="0015243A">
        <w:rPr>
          <w:rFonts w:ascii="Times New Roman" w:eastAsia="Times New Roman" w:hAnsi="Times New Roman" w:cs="Times New Roman"/>
          <w:color w:val="000000"/>
          <w:sz w:val="24"/>
          <w:szCs w:val="24"/>
        </w:rPr>
        <w:t xml:space="preserve"> dipped slightly in 2008 through 2010 and rose back up to 16% in 2011. Given the market trends during 2008- 2010, Fluor was less aggressive in financing company growth using debt. In comparison with its competitors, the trend of debt utilization in financing is similar. Please note SAIC is heavily reliant on using debt to finance its operations. Thus, their ratios are higher than Fluor and Jacob’s.  However, the aforementioned trends are consistent. (Please refer to Appendix 4 for further assumptions).</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Fluor’s </w:t>
      </w:r>
      <w:r w:rsidRPr="00A62D34">
        <w:rPr>
          <w:rFonts w:ascii="Times New Roman" w:eastAsia="Times New Roman" w:hAnsi="Times New Roman" w:cs="Times New Roman"/>
          <w:sz w:val="24"/>
          <w:szCs w:val="24"/>
        </w:rPr>
        <w:t>asset turnover</w:t>
      </w:r>
      <w:r w:rsidRPr="0015243A">
        <w:rPr>
          <w:rFonts w:ascii="Times New Roman" w:eastAsia="Times New Roman" w:hAnsi="Times New Roman" w:cs="Times New Roman"/>
          <w:color w:val="000000"/>
          <w:sz w:val="24"/>
          <w:szCs w:val="24"/>
        </w:rPr>
        <w:t xml:space="preserve"> is above its immediate competitors even if it decreased slightly in 2009 and 2010 and pulling up slightly in 2011. The industry ratios continued to decline between 2009-2011. This suggests that Fluor is more efficient in using its assets to generate sales. As for </w:t>
      </w:r>
      <w:r w:rsidRPr="00A62D34">
        <w:rPr>
          <w:rFonts w:ascii="Times New Roman" w:eastAsia="Times New Roman" w:hAnsi="Times New Roman" w:cs="Times New Roman"/>
          <w:sz w:val="24"/>
          <w:szCs w:val="24"/>
        </w:rPr>
        <w:t>total receivables</w:t>
      </w:r>
      <w:r w:rsidRPr="0015243A">
        <w:rPr>
          <w:rFonts w:ascii="Times New Roman" w:eastAsia="Times New Roman" w:hAnsi="Times New Roman" w:cs="Times New Roman"/>
          <w:color w:val="000000"/>
          <w:sz w:val="24"/>
          <w:szCs w:val="24"/>
        </w:rPr>
        <w:t xml:space="preserve">, the same trend is seen in Fluor which suggests that it is probably great at collecting its receivables in comparison to the industry. The industry is steady in collecting its receivables as well but their </w:t>
      </w:r>
      <w:r w:rsidRPr="0015243A">
        <w:rPr>
          <w:rFonts w:ascii="Times New Roman" w:eastAsia="Times New Roman" w:hAnsi="Times New Roman" w:cs="Times New Roman"/>
          <w:color w:val="000000"/>
          <w:sz w:val="24"/>
          <w:szCs w:val="24"/>
        </w:rPr>
        <w:lastRenderedPageBreak/>
        <w:t xml:space="preserve">collection is not as good as Fluor’s. Please see </w:t>
      </w:r>
      <w:r w:rsidRPr="00A62D34">
        <w:rPr>
          <w:rFonts w:ascii="Times New Roman" w:eastAsia="Times New Roman" w:hAnsi="Times New Roman" w:cs="Times New Roman"/>
          <w:sz w:val="24"/>
          <w:szCs w:val="24"/>
        </w:rPr>
        <w:t>Appendix 3</w:t>
      </w:r>
      <w:r w:rsidRPr="0015243A">
        <w:rPr>
          <w:rFonts w:ascii="Times New Roman" w:eastAsia="Times New Roman" w:hAnsi="Times New Roman" w:cs="Times New Roman"/>
          <w:color w:val="000000"/>
          <w:sz w:val="24"/>
          <w:szCs w:val="24"/>
        </w:rPr>
        <w:t xml:space="preserve"> for ratios and trends and  </w:t>
      </w:r>
      <w:r w:rsidRPr="00A62D34">
        <w:rPr>
          <w:rFonts w:ascii="Times New Roman" w:eastAsia="Times New Roman" w:hAnsi="Times New Roman" w:cs="Times New Roman"/>
          <w:sz w:val="24"/>
          <w:szCs w:val="24"/>
        </w:rPr>
        <w:t>Appendix 4</w:t>
      </w:r>
      <w:r w:rsidRPr="0015243A">
        <w:rPr>
          <w:rFonts w:ascii="Times New Roman" w:eastAsia="Times New Roman" w:hAnsi="Times New Roman" w:cs="Times New Roman"/>
          <w:color w:val="000000"/>
          <w:sz w:val="24"/>
          <w:szCs w:val="24"/>
        </w:rPr>
        <w:t xml:space="preserve"> for assumptions. </w:t>
      </w:r>
    </w:p>
    <w:p w:rsidR="0015243A" w:rsidRDefault="0015243A" w:rsidP="0015243A">
      <w:pPr>
        <w:spacing w:after="0" w:line="480" w:lineRule="auto"/>
        <w:ind w:firstLine="720"/>
        <w:rPr>
          <w:rFonts w:ascii="Times New Roman" w:eastAsia="Times New Roman" w:hAnsi="Times New Roman" w:cs="Times New Roman"/>
          <w:color w:val="000000"/>
          <w:sz w:val="24"/>
          <w:szCs w:val="24"/>
        </w:rPr>
      </w:pPr>
      <w:r w:rsidRPr="0015243A">
        <w:rPr>
          <w:rFonts w:ascii="Times New Roman" w:eastAsia="Times New Roman" w:hAnsi="Times New Roman" w:cs="Times New Roman"/>
          <w:color w:val="000000"/>
          <w:sz w:val="24"/>
          <w:szCs w:val="24"/>
        </w:rPr>
        <w:t xml:space="preserve">The </w:t>
      </w:r>
      <w:r w:rsidRPr="00A62D34">
        <w:rPr>
          <w:rFonts w:ascii="Times New Roman" w:eastAsia="Times New Roman" w:hAnsi="Times New Roman" w:cs="Times New Roman"/>
          <w:sz w:val="24"/>
          <w:szCs w:val="24"/>
        </w:rPr>
        <w:t>cash flow per share ratio</w:t>
      </w:r>
      <w:r w:rsidRPr="0015243A">
        <w:rPr>
          <w:rFonts w:ascii="Times New Roman" w:eastAsia="Times New Roman" w:hAnsi="Times New Roman" w:cs="Times New Roman"/>
          <w:color w:val="000000"/>
          <w:sz w:val="24"/>
          <w:szCs w:val="24"/>
        </w:rPr>
        <w:t xml:space="preserve"> shows a sudden drop in 2010 but rebounded in 2011 but the general trend is still downward sloping. The industry’s financial strength dipped between 2009-2010 most likely due to the economy during that time which nearly decimated the construction industry (</w:t>
      </w:r>
      <w:r w:rsidRPr="00A62D34">
        <w:rPr>
          <w:rFonts w:ascii="Times New Roman" w:eastAsia="Times New Roman" w:hAnsi="Times New Roman" w:cs="Times New Roman"/>
          <w:sz w:val="24"/>
          <w:szCs w:val="24"/>
        </w:rPr>
        <w:t>Wotapka</w:t>
      </w:r>
      <w:r w:rsidRPr="0015243A">
        <w:rPr>
          <w:rFonts w:ascii="Times New Roman" w:eastAsia="Times New Roman" w:hAnsi="Times New Roman" w:cs="Times New Roman"/>
          <w:color w:val="000000"/>
          <w:sz w:val="24"/>
          <w:szCs w:val="24"/>
        </w:rPr>
        <w:t>). Fluor’s cash flow per share ratio is far above its competitors in the industry which suggests that the company is a more worthwhile investment as they are more likely to pay dividends.  </w:t>
      </w:r>
    </w:p>
    <w:p w:rsidR="0015243A" w:rsidRPr="0015243A" w:rsidRDefault="0015243A" w:rsidP="0015243A">
      <w:pPr>
        <w:pStyle w:val="Heading1"/>
        <w:spacing w:line="480" w:lineRule="auto"/>
        <w:rPr>
          <w:rFonts w:eastAsia="Times New Roman"/>
        </w:rPr>
      </w:pPr>
      <w:bookmarkStart w:id="2" w:name="_Toc342825323"/>
      <w:r w:rsidRPr="0015243A">
        <w:rPr>
          <w:rFonts w:eastAsia="Times New Roman"/>
        </w:rPr>
        <w:t>II. Risk Profile Analysis</w:t>
      </w:r>
      <w:bookmarkEnd w:id="2"/>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In order to analyze the riskiness of Fluor’s equity and ultimately its cost of equity, the Capital Asset Pricing Model (CAPM) was utilized. The first step was to run a regression analysis on Fluor’s stock return rate and market return rate to determine the risk of the company’s equity or Beta. The past five year’s (December 2007 thru November 2012) monthly stock price and S&amp;P 500 index level was used to find Fluor’s monthly stock return rate and monthly market return rate. The regression analysis determined a Beta of 1.37 with a 95% confidence interval range of 0.93 to 1.81 and R2 value of 0.41. The Beta indicates that the market risk of the stock is fairly high, equivalent to the risk of the technology sector. The R2 from the regression model shows that 41% of the equity risk comes from the market while 59% of the risk is firm-specific and can be diversifiable.</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The next step was to determine the cost of equity by using CAPM. The previously discussed Beta was used as well as the current 1.61% 10-year U.S. Treasury Bond rate for the risk free market rate. The market return rate was estimated to be 2.38% by calculating the total return over the past five years. Utilizing these numbers we determined a cost of equity of 2.66% with a confidence interval range of 2.33 to 3.00.</w:t>
      </w:r>
    </w:p>
    <w:p w:rsidR="0015243A" w:rsidRPr="00A62D34" w:rsidRDefault="0015243A" w:rsidP="00A62D34">
      <w:pPr>
        <w:spacing w:after="0" w:line="480" w:lineRule="auto"/>
        <w:ind w:firstLine="720"/>
        <w:rPr>
          <w:rFonts w:ascii="Times New Roman" w:eastAsia="Times New Roman" w:hAnsi="Times New Roman" w:cs="Times New Roman"/>
          <w:color w:val="000000"/>
          <w:sz w:val="24"/>
          <w:szCs w:val="24"/>
        </w:rPr>
      </w:pPr>
      <w:r w:rsidRPr="0015243A">
        <w:rPr>
          <w:rFonts w:ascii="Times New Roman" w:eastAsia="Times New Roman" w:hAnsi="Times New Roman" w:cs="Times New Roman"/>
          <w:color w:val="000000"/>
          <w:sz w:val="24"/>
          <w:szCs w:val="24"/>
        </w:rPr>
        <w:lastRenderedPageBreak/>
        <w:t xml:space="preserve">Fluor Corp. has a bond rating of A which puts their equivalent beta at 0.05 according to the S. Schaefer and I. </w:t>
      </w:r>
      <w:proofErr w:type="spellStart"/>
      <w:r w:rsidRPr="0015243A">
        <w:rPr>
          <w:rFonts w:ascii="Times New Roman" w:eastAsia="Times New Roman" w:hAnsi="Times New Roman" w:cs="Times New Roman"/>
          <w:color w:val="000000"/>
          <w:sz w:val="24"/>
          <w:szCs w:val="24"/>
        </w:rPr>
        <w:t>Strebulaev</w:t>
      </w:r>
      <w:proofErr w:type="spellEnd"/>
      <w:r w:rsidRPr="0015243A">
        <w:rPr>
          <w:rFonts w:ascii="Times New Roman" w:eastAsia="Times New Roman" w:hAnsi="Times New Roman" w:cs="Times New Roman"/>
          <w:color w:val="000000"/>
          <w:sz w:val="24"/>
          <w:szCs w:val="24"/>
        </w:rPr>
        <w:t>, “Risk in Capital Structure Arbitrage”. The risk free rate of 1.61% and a market risk premium of 2.38% allow us to use CAPM to calculate the cost of debt as 1.73%. The capital structure for Fluor is setup to use equity as the primary form of capital funding with 13% being debt and 87% being equity.</w:t>
      </w:r>
    </w:p>
    <w:p w:rsidR="00A62D34" w:rsidRDefault="00A62D34" w:rsidP="00A62D34">
      <w:pPr>
        <w:spacing w:after="0" w:line="480" w:lineRule="auto"/>
        <w:rPr>
          <w:rStyle w:val="Heading1Char"/>
        </w:rPr>
      </w:pPr>
    </w:p>
    <w:p w:rsidR="00263566" w:rsidRDefault="0015243A" w:rsidP="00A62D34">
      <w:pPr>
        <w:spacing w:after="0" w:line="480" w:lineRule="auto"/>
        <w:rPr>
          <w:rStyle w:val="Heading1Char"/>
        </w:rPr>
      </w:pPr>
      <w:bookmarkStart w:id="3" w:name="_Toc342825324"/>
      <w:r w:rsidRPr="0015243A">
        <w:rPr>
          <w:rStyle w:val="Heading1Char"/>
        </w:rPr>
        <w:t>III. Stock Valuation</w:t>
      </w:r>
      <w:bookmarkEnd w:id="3"/>
    </w:p>
    <w:p w:rsidR="0012376A" w:rsidRPr="009704E0" w:rsidRDefault="0012376A" w:rsidP="00A62D34">
      <w:pPr>
        <w:spacing w:after="0" w:line="480" w:lineRule="auto"/>
        <w:rPr>
          <w:rFonts w:ascii="Times New Roman" w:eastAsia="Times New Roman" w:hAnsi="Times New Roman" w:cs="Times New Roman"/>
          <w:color w:val="000000"/>
          <w:sz w:val="24"/>
          <w:szCs w:val="24"/>
        </w:rPr>
      </w:pPr>
      <w:r w:rsidRPr="009704E0">
        <w:rPr>
          <w:rFonts w:ascii="Times New Roman" w:eastAsia="Times New Roman" w:hAnsi="Times New Roman" w:cs="Times New Roman"/>
          <w:color w:val="000000"/>
          <w:sz w:val="24"/>
          <w:szCs w:val="24"/>
        </w:rPr>
        <w:t xml:space="preserve">In using the discounted free cash flow model, we obtained the weighted cost of capital (WACC) multiplying the cost of debt of 1.73% and cost of equity of 2.66% by their compositions of 13% and 87%, respectively, we obtained a rate of 2.54%. Stable growth was obtained by averaging the historical 5-year revenue growth of Fluor Corp.’s major competitors (Jacobs Engineering, Inc., SAIC Inc., and URS Corp.) to calculate a rate of 1.6%. Using Fluor Corp’s historical financial data from the past 5 years (2007-2011), we assumed an average growth rate for the 5-year forecast of 11.6%; cost of goods sold, operating expenses, capital expenditures, and net working capital based on historical percentage of revenue; and interest and depreciation expenses based on year 2011. The terminal value for year 2017 was obtained using the forecasted financials for year 2016 and the calculated stable growth and WACC rates. The forecasted FCFs and terminal value were discounted to year 2011 using the WACC as the discount rate. Diving the present value of the discounted FCFs and terminal value by the total outstanding shares for 2011 calculated a stock price of $376.69 (Appendix </w:t>
      </w:r>
      <w:r w:rsidR="002C41CE" w:rsidRPr="009704E0">
        <w:rPr>
          <w:rFonts w:ascii="Times New Roman" w:eastAsia="Times New Roman" w:hAnsi="Times New Roman" w:cs="Times New Roman"/>
          <w:color w:val="000000"/>
          <w:sz w:val="24"/>
          <w:szCs w:val="24"/>
        </w:rPr>
        <w:t>6</w:t>
      </w:r>
      <w:r w:rsidRPr="009704E0">
        <w:rPr>
          <w:rFonts w:ascii="Times New Roman" w:eastAsia="Times New Roman" w:hAnsi="Times New Roman" w:cs="Times New Roman"/>
          <w:color w:val="000000"/>
          <w:sz w:val="24"/>
          <w:szCs w:val="24"/>
        </w:rPr>
        <w:t xml:space="preserve">). This method, while provides a detailed analysis for the valuation of the stock price, has the optimistic assumption that the industry will, at one point in the near future, continue to grow at a stable rate. In comparison to the other valuation methods used, the discounted free cash flow model provides a much higher value for the stock </w:t>
      </w:r>
      <w:r w:rsidRPr="009704E0">
        <w:rPr>
          <w:rFonts w:ascii="Times New Roman" w:eastAsia="Times New Roman" w:hAnsi="Times New Roman" w:cs="Times New Roman"/>
          <w:color w:val="000000"/>
          <w:sz w:val="24"/>
          <w:szCs w:val="24"/>
        </w:rPr>
        <w:lastRenderedPageBreak/>
        <w:t>price primarily due to the disparity between the assumed positive stable growth rate in this model and the negative dividend growth rate assumed in the dividend discount model.</w:t>
      </w:r>
    </w:p>
    <w:p w:rsidR="0015243A" w:rsidRPr="0015243A" w:rsidRDefault="002C41CE" w:rsidP="002C41C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ab/>
      </w:r>
      <w:r w:rsidR="0015243A" w:rsidRPr="00114108">
        <w:rPr>
          <w:rFonts w:ascii="Times New Roman" w:eastAsia="Times New Roman" w:hAnsi="Times New Roman" w:cs="Times New Roman"/>
          <w:color w:val="000000"/>
          <w:sz w:val="24"/>
          <w:szCs w:val="24"/>
        </w:rPr>
        <w:t>In using the dividend discount model spanning back from 2006 to the present financial report, the stock price was calculated to be $13.23 given the negative growth of 9.44% due to the drop of dividend payout between 2007 and 2008. This provided stock price is on the lower spectrum in the pessimistic nature that there would be further dips in the industry. Since 2008, the dividend payout has stabilized. If it were to remain at this current rate, given the perpetuity formula, the company’s stock price should be $60.</w:t>
      </w:r>
      <w:r w:rsidR="0015243A" w:rsidRPr="00146264">
        <w:rPr>
          <w:rFonts w:ascii="Times New Roman" w:eastAsia="Times New Roman" w:hAnsi="Times New Roman" w:cs="Times New Roman"/>
          <w:color w:val="000000"/>
          <w:sz w:val="24"/>
          <w:szCs w:val="24"/>
        </w:rPr>
        <w:t>15 (</w:t>
      </w:r>
      <w:r w:rsidR="0015243A" w:rsidRPr="00146264">
        <w:rPr>
          <w:rFonts w:ascii="Times New Roman" w:eastAsia="Times New Roman" w:hAnsi="Times New Roman" w:cs="Times New Roman"/>
          <w:i/>
          <w:color w:val="000000"/>
          <w:sz w:val="24"/>
          <w:szCs w:val="24"/>
        </w:rPr>
        <w:t xml:space="preserve">Appendix </w:t>
      </w:r>
      <w:r w:rsidR="00146264" w:rsidRPr="00146264">
        <w:rPr>
          <w:rFonts w:ascii="Times New Roman" w:eastAsia="Times New Roman" w:hAnsi="Times New Roman" w:cs="Times New Roman"/>
          <w:i/>
          <w:color w:val="000000"/>
          <w:sz w:val="24"/>
          <w:szCs w:val="24"/>
        </w:rPr>
        <w:t>7</w:t>
      </w:r>
      <w:r w:rsidR="0015243A" w:rsidRPr="00146264">
        <w:rPr>
          <w:rFonts w:ascii="Times New Roman" w:eastAsia="Times New Roman" w:hAnsi="Times New Roman" w:cs="Times New Roman"/>
          <w:color w:val="000000"/>
          <w:sz w:val="24"/>
          <w:szCs w:val="24"/>
        </w:rPr>
        <w:t>).</w:t>
      </w:r>
      <w:r w:rsidR="0015243A" w:rsidRPr="0015243A">
        <w:rPr>
          <w:rFonts w:ascii="Times New Roman" w:eastAsia="Times New Roman" w:hAnsi="Times New Roman" w:cs="Times New Roman"/>
          <w:sz w:val="24"/>
          <w:szCs w:val="24"/>
        </w:rPr>
        <w:br/>
      </w:r>
      <w:r w:rsidR="0015243A" w:rsidRPr="0015243A">
        <w:rPr>
          <w:rStyle w:val="Heading2Char"/>
        </w:rPr>
        <w:t>IV. Conclusion</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Looking at all of the financial information provided, an investor in the construction industry is encouraged to invest in Fluor Corporation. As one of the top players in the construction industry, Fluor has continually remained a steady forerunner in the industry despite the financial dip between 2007 and 2008. As mentioned, it looks like the industry is slowly recovering and thus the pessimism in stock prices may be unfounded. Although the company risk as calculated using CAPM is quite high, it is due to the nature of the industry and it is recommended for investors to properly diversify their investments. </w:t>
      </w:r>
      <w:r w:rsidRPr="0015243A">
        <w:rPr>
          <w:rFonts w:ascii="Times New Roman" w:eastAsia="Times New Roman" w:hAnsi="Times New Roman" w:cs="Times New Roman"/>
          <w:color w:val="000000"/>
          <w:sz w:val="24"/>
          <w:szCs w:val="24"/>
        </w:rPr>
        <w:br w:type="page"/>
      </w:r>
    </w:p>
    <w:p w:rsidR="0015243A" w:rsidRPr="0015243A" w:rsidRDefault="0015243A" w:rsidP="0015243A">
      <w:pPr>
        <w:pStyle w:val="Heading2"/>
        <w:spacing w:line="480" w:lineRule="auto"/>
        <w:rPr>
          <w:rFonts w:eastAsia="Times New Roman"/>
        </w:rPr>
      </w:pPr>
      <w:bookmarkStart w:id="4" w:name="_Toc342825325"/>
      <w:r w:rsidRPr="0015243A">
        <w:rPr>
          <w:rFonts w:eastAsia="Times New Roman"/>
        </w:rPr>
        <w:lastRenderedPageBreak/>
        <w:t>Appendix 1: Ratio Descriptions</w:t>
      </w:r>
      <w:bookmarkEnd w:id="4"/>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In amalgamation, the ratios addressed used give a good picture of how the chosen company is doing relative to its industry. For the most part, ratios that are more conservative were used to address concerns of  risk averse investors. </w:t>
      </w:r>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The ROA ratio measures a company’s earnings per dollar of assets. Whereas the ROE incorporates ROA and determines the return a company earns in its investment (</w:t>
      </w:r>
      <w:proofErr w:type="spellStart"/>
      <w:r w:rsidRPr="0015243A">
        <w:rPr>
          <w:rFonts w:ascii="Times New Roman" w:eastAsia="Times New Roman" w:hAnsi="Times New Roman" w:cs="Times New Roman"/>
          <w:color w:val="000000"/>
          <w:sz w:val="24"/>
          <w:szCs w:val="24"/>
        </w:rPr>
        <w:t>Berk</w:t>
      </w:r>
      <w:proofErr w:type="spellEnd"/>
      <w:r w:rsidRPr="0015243A">
        <w:rPr>
          <w:rFonts w:ascii="Times New Roman" w:eastAsia="Times New Roman" w:hAnsi="Times New Roman" w:cs="Times New Roman"/>
          <w:color w:val="000000"/>
          <w:sz w:val="24"/>
          <w:szCs w:val="24"/>
        </w:rPr>
        <w:t xml:space="preserve"> &amp; </w:t>
      </w:r>
      <w:proofErr w:type="spellStart"/>
      <w:r w:rsidRPr="0015243A">
        <w:rPr>
          <w:rFonts w:ascii="Times New Roman" w:eastAsia="Times New Roman" w:hAnsi="Times New Roman" w:cs="Times New Roman"/>
          <w:color w:val="000000"/>
          <w:sz w:val="24"/>
          <w:szCs w:val="24"/>
        </w:rPr>
        <w:t>DeMarzo</w:t>
      </w:r>
      <w:proofErr w:type="spellEnd"/>
      <w:r w:rsidRPr="0015243A">
        <w:rPr>
          <w:rFonts w:ascii="Times New Roman" w:eastAsia="Times New Roman" w:hAnsi="Times New Roman" w:cs="Times New Roman"/>
          <w:color w:val="000000"/>
          <w:sz w:val="24"/>
          <w:szCs w:val="24"/>
        </w:rPr>
        <w:t xml:space="preserve">, 32). The EBITDA margin gives a rough measure of the cash a firm earns by each dollar of sales before interest, taxes, depreciation, and amortization. The quick ratio is a conservative measure of liquidity of a company and how capable they are to repay current liabilities. The total debt to equity ratio tells investors how aggressive a company is to finance its operations using debt. In layman terms, it is like a person using a credit card to pay his current finances except at a much higher amount and for a longer term of repayment. Total asset turnover helps investors determine how efficient a company is at using assets to maximize sales. On the other hand, receivables turnover shows if a company is efficient in collecting what is due to them, the higher the ratio the better. Last but not least, cash flow per share evaluates a company’s financial capabilities by looking at its operating cash flow net of preferred dividends per shares of common stock outstanding. This tells investors how much cash a company generates per share of common share. </w:t>
      </w:r>
    </w:p>
    <w:p w:rsidR="0015243A" w:rsidRPr="0015243A" w:rsidRDefault="0015243A" w:rsidP="0015243A">
      <w:pPr>
        <w:spacing w:after="240" w:line="480" w:lineRule="auto"/>
        <w:rPr>
          <w:rFonts w:ascii="Times New Roman" w:eastAsia="Times New Roman" w:hAnsi="Times New Roman" w:cs="Times New Roman"/>
          <w:sz w:val="24"/>
          <w:szCs w:val="24"/>
        </w:rPr>
      </w:pPr>
      <w:r w:rsidRPr="0015243A">
        <w:rPr>
          <w:rFonts w:ascii="Times New Roman" w:eastAsia="Times New Roman" w:hAnsi="Times New Roman" w:cs="Times New Roman"/>
          <w:sz w:val="24"/>
          <w:szCs w:val="24"/>
        </w:rPr>
        <w:br/>
      </w:r>
    </w:p>
    <w:p w:rsidR="0015243A" w:rsidRPr="0015243A" w:rsidRDefault="0015243A" w:rsidP="0015243A">
      <w:pPr>
        <w:pStyle w:val="Heading1"/>
        <w:spacing w:line="480" w:lineRule="auto"/>
      </w:pPr>
      <w:bookmarkStart w:id="5" w:name="_APPENDIX_2_–"/>
      <w:bookmarkStart w:id="6" w:name="_Toc342825326"/>
      <w:bookmarkEnd w:id="5"/>
      <w:r w:rsidRPr="0015243A">
        <w:lastRenderedPageBreak/>
        <w:t>APPENDIX 2</w:t>
      </w:r>
      <w:r w:rsidR="00136768">
        <w:t xml:space="preserve"> – </w:t>
      </w:r>
      <w:r w:rsidRPr="0015243A">
        <w:t>Hand Calculated Fluor Ratio FYE 12/31/2011</w:t>
      </w:r>
      <w:bookmarkEnd w:id="6"/>
    </w:p>
    <w:p w:rsidR="0015243A" w:rsidRPr="0015243A" w:rsidRDefault="003B19E5" w:rsidP="0015243A">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9790" cy="4357370"/>
            <wp:effectExtent l="57150" t="19050" r="60960" b="1003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4357370"/>
                    </a:xfrm>
                    <a:prstGeom prst="rect">
                      <a:avLst/>
                    </a:prstGeom>
                    <a:noFill/>
                    <a:ln>
                      <a:noFill/>
                    </a:ln>
                    <a:effectLst>
                      <a:outerShdw blurRad="50800" dist="38100" dir="5400000" algn="t" rotWithShape="0">
                        <a:prstClr val="black">
                          <a:alpha val="40000"/>
                        </a:prstClr>
                      </a:outerShdw>
                    </a:effectLst>
                  </pic:spPr>
                </pic:pic>
              </a:graphicData>
            </a:graphic>
          </wp:inline>
        </w:drawing>
      </w:r>
    </w:p>
    <w:p w:rsidR="0015243A" w:rsidRPr="0015243A" w:rsidRDefault="0015243A" w:rsidP="00CA5F97">
      <w:pPr>
        <w:pStyle w:val="Heading1"/>
        <w:spacing w:before="0" w:line="480" w:lineRule="auto"/>
        <w:rPr>
          <w:rFonts w:eastAsia="Times New Roman"/>
        </w:rPr>
      </w:pPr>
      <w:bookmarkStart w:id="7" w:name="_APPENDIX_3_–"/>
      <w:bookmarkStart w:id="8" w:name="_Toc342825327"/>
      <w:bookmarkEnd w:id="7"/>
      <w:r w:rsidRPr="0015243A">
        <w:rPr>
          <w:rFonts w:eastAsia="Times New Roman"/>
        </w:rPr>
        <w:lastRenderedPageBreak/>
        <w:t xml:space="preserve">APPENDIX </w:t>
      </w:r>
      <w:r w:rsidRPr="0015243A">
        <w:t>3</w:t>
      </w:r>
      <w:r w:rsidRPr="0015243A">
        <w:rPr>
          <w:rFonts w:eastAsia="Times New Roman"/>
        </w:rPr>
        <w:t xml:space="preserve"> </w:t>
      </w:r>
      <w:r w:rsidR="00136768">
        <w:rPr>
          <w:rFonts w:eastAsia="Times New Roman"/>
        </w:rPr>
        <w:t xml:space="preserve">– </w:t>
      </w:r>
      <w:r w:rsidRPr="0015243A">
        <w:rPr>
          <w:rFonts w:eastAsia="Times New Roman"/>
        </w:rPr>
        <w:t>Ratio Graphs</w:t>
      </w:r>
      <w:r w:rsidR="00CA5F97">
        <w:rPr>
          <w:rFonts w:eastAsia="Times New Roman"/>
        </w:rPr>
        <w:t xml:space="preserve"> with Trend Lines</w:t>
      </w:r>
      <w:bookmarkEnd w:id="8"/>
    </w:p>
    <w:p w:rsidR="0015243A" w:rsidRPr="0015243A" w:rsidRDefault="00CA5F97" w:rsidP="00CA5F97">
      <w:pPr>
        <w:pStyle w:val="Heading2"/>
        <w:spacing w:before="0"/>
        <w:rPr>
          <w:rFonts w:eastAsia="Times New Roman"/>
        </w:rPr>
      </w:pPr>
      <w:bookmarkStart w:id="9" w:name="_Toc342825328"/>
      <w:r>
        <w:rPr>
          <w:rFonts w:eastAsia="Times New Roman"/>
        </w:rPr>
        <w:t>Return on Assets Percentage</w:t>
      </w:r>
      <w:bookmarkEnd w:id="9"/>
    </w:p>
    <w:p w:rsidR="00CA5F97" w:rsidRDefault="00CA5F97" w:rsidP="00CA5F97">
      <w:pPr>
        <w:spacing w:after="0" w:line="480" w:lineRule="auto"/>
        <w:jc w:val="center"/>
        <w:rPr>
          <w:rFonts w:ascii="Times New Roman" w:eastAsia="Times New Roman" w:hAnsi="Times New Roman" w:cs="Times New Roman"/>
          <w:sz w:val="24"/>
          <w:szCs w:val="24"/>
        </w:rPr>
      </w:pPr>
      <w:r>
        <w:rPr>
          <w:noProof/>
        </w:rPr>
        <w:drawing>
          <wp:inline distT="0" distB="0" distL="0" distR="0" wp14:anchorId="2BC79E6F" wp14:editId="2415E443">
            <wp:extent cx="4078848" cy="3124947"/>
            <wp:effectExtent l="57150" t="19050" r="55245" b="946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5F97" w:rsidRDefault="00CA5F97" w:rsidP="00CA5F97">
      <w:pPr>
        <w:pStyle w:val="Heading2"/>
        <w:spacing w:before="0"/>
        <w:rPr>
          <w:rFonts w:eastAsia="Times New Roman"/>
        </w:rPr>
      </w:pPr>
      <w:bookmarkStart w:id="10" w:name="_Return_on_Equity"/>
      <w:bookmarkStart w:id="11" w:name="_Toc342825329"/>
      <w:bookmarkEnd w:id="10"/>
      <w:r>
        <w:rPr>
          <w:rFonts w:eastAsia="Times New Roman"/>
        </w:rPr>
        <w:t>Return on Equity</w:t>
      </w:r>
      <w:r w:rsidR="00951337">
        <w:rPr>
          <w:rFonts w:eastAsia="Times New Roman"/>
        </w:rPr>
        <w:t xml:space="preserve"> Percentage</w:t>
      </w:r>
      <w:bookmarkEnd w:id="11"/>
    </w:p>
    <w:p w:rsidR="0015243A" w:rsidRDefault="00CA5F97" w:rsidP="00CA5F97">
      <w:pPr>
        <w:spacing w:after="0" w:line="480" w:lineRule="auto"/>
        <w:jc w:val="center"/>
        <w:rPr>
          <w:rFonts w:ascii="Times New Roman" w:eastAsia="Times New Roman" w:hAnsi="Times New Roman" w:cs="Times New Roman"/>
          <w:sz w:val="24"/>
          <w:szCs w:val="24"/>
        </w:rPr>
      </w:pPr>
      <w:r>
        <w:rPr>
          <w:noProof/>
        </w:rPr>
        <w:drawing>
          <wp:inline distT="0" distB="0" distL="0" distR="0" wp14:anchorId="76E2B34E" wp14:editId="7205B6C9">
            <wp:extent cx="4059051" cy="3124947"/>
            <wp:effectExtent l="95250" t="57150" r="93980" b="132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F97" w:rsidRDefault="00951337" w:rsidP="00951337">
      <w:pPr>
        <w:pStyle w:val="Heading2"/>
        <w:spacing w:before="0"/>
        <w:rPr>
          <w:rFonts w:eastAsia="Times New Roman"/>
        </w:rPr>
      </w:pPr>
      <w:bookmarkStart w:id="12" w:name="_Toc342825330"/>
      <w:r>
        <w:rPr>
          <w:rFonts w:eastAsia="Times New Roman"/>
        </w:rPr>
        <w:t>Return on Investment Percentage</w:t>
      </w:r>
      <w:bookmarkEnd w:id="12"/>
    </w:p>
    <w:p w:rsidR="00951337" w:rsidRPr="00951337" w:rsidRDefault="00951337" w:rsidP="00951337"/>
    <w:p w:rsidR="00951337" w:rsidRDefault="00951337" w:rsidP="00951337">
      <w:pPr>
        <w:spacing w:after="0" w:line="480" w:lineRule="auto"/>
        <w:jc w:val="center"/>
        <w:rPr>
          <w:rFonts w:ascii="Times New Roman" w:eastAsia="Times New Roman" w:hAnsi="Times New Roman" w:cs="Times New Roman"/>
          <w:sz w:val="24"/>
          <w:szCs w:val="24"/>
        </w:rPr>
      </w:pPr>
      <w:r>
        <w:rPr>
          <w:noProof/>
        </w:rPr>
        <w:lastRenderedPageBreak/>
        <w:drawing>
          <wp:inline distT="0" distB="0" distL="0" distR="0" wp14:anchorId="60423C2C" wp14:editId="680B4743">
            <wp:extent cx="4024873" cy="3124947"/>
            <wp:effectExtent l="57150" t="19050" r="52070" b="946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1337" w:rsidRDefault="00951337" w:rsidP="00951337">
      <w:pPr>
        <w:pStyle w:val="Heading2"/>
        <w:spacing w:before="0"/>
        <w:rPr>
          <w:rFonts w:eastAsia="Times New Roman"/>
        </w:rPr>
      </w:pPr>
      <w:bookmarkStart w:id="13" w:name="_Earnings_Before_Interest,"/>
      <w:bookmarkStart w:id="14" w:name="_Toc342825331"/>
      <w:bookmarkEnd w:id="13"/>
      <w:r>
        <w:rPr>
          <w:rFonts w:eastAsia="Times New Roman"/>
        </w:rPr>
        <w:t>Earnings Before Interest, Taxes, Depreciation and Amortization Percentage</w:t>
      </w:r>
      <w:bookmarkEnd w:id="14"/>
    </w:p>
    <w:p w:rsidR="00951337" w:rsidRDefault="00951337" w:rsidP="00951337">
      <w:pPr>
        <w:spacing w:after="0" w:line="480" w:lineRule="auto"/>
        <w:jc w:val="center"/>
        <w:rPr>
          <w:rFonts w:ascii="Times New Roman" w:eastAsia="Times New Roman" w:hAnsi="Times New Roman" w:cs="Times New Roman"/>
          <w:sz w:val="24"/>
          <w:szCs w:val="24"/>
        </w:rPr>
      </w:pPr>
      <w:r>
        <w:rPr>
          <w:noProof/>
        </w:rPr>
        <w:drawing>
          <wp:inline distT="0" distB="0" distL="0" distR="0" wp14:anchorId="13B9C908" wp14:editId="5961FCC4">
            <wp:extent cx="4084451" cy="3118597"/>
            <wp:effectExtent l="57150" t="19050" r="49530" b="1009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4C75" w:rsidRDefault="00BF4C75" w:rsidP="00BF4C75">
      <w:pPr>
        <w:pStyle w:val="Heading2"/>
        <w:rPr>
          <w:rFonts w:eastAsia="Times New Roman"/>
        </w:rPr>
      </w:pPr>
      <w:bookmarkStart w:id="15" w:name="_Quick_Ratio"/>
      <w:bookmarkStart w:id="16" w:name="_Toc342825332"/>
      <w:bookmarkEnd w:id="15"/>
      <w:r>
        <w:rPr>
          <w:rFonts w:eastAsia="Times New Roman"/>
        </w:rPr>
        <w:lastRenderedPageBreak/>
        <w:t>Quick Ratio</w:t>
      </w:r>
      <w:bookmarkEnd w:id="16"/>
    </w:p>
    <w:p w:rsidR="00BF4C75" w:rsidRDefault="00BF4C75" w:rsidP="00BF4C75">
      <w:pPr>
        <w:spacing w:after="0" w:line="480" w:lineRule="auto"/>
        <w:jc w:val="center"/>
        <w:rPr>
          <w:rFonts w:ascii="Times New Roman" w:eastAsia="Times New Roman" w:hAnsi="Times New Roman" w:cs="Times New Roman"/>
          <w:sz w:val="24"/>
          <w:szCs w:val="24"/>
        </w:rPr>
      </w:pPr>
      <w:r>
        <w:rPr>
          <w:noProof/>
        </w:rPr>
        <w:drawing>
          <wp:inline distT="0" distB="0" distL="0" distR="0" wp14:anchorId="1F2AC246" wp14:editId="466BAD74">
            <wp:extent cx="4078848" cy="3121772"/>
            <wp:effectExtent l="57150" t="19050" r="55245" b="977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4C75" w:rsidRPr="00BF4C75" w:rsidRDefault="00BF4C75" w:rsidP="00BF4C75">
      <w:pPr>
        <w:pStyle w:val="Heading2"/>
        <w:rPr>
          <w:rFonts w:eastAsia="Times New Roman"/>
        </w:rPr>
      </w:pPr>
      <w:bookmarkStart w:id="17" w:name="_Toc342825333"/>
      <w:r>
        <w:rPr>
          <w:rFonts w:eastAsia="Times New Roman"/>
        </w:rPr>
        <w:t>Current Ratio</w:t>
      </w:r>
      <w:bookmarkEnd w:id="17"/>
    </w:p>
    <w:p w:rsidR="00BF4C75" w:rsidRDefault="00BF4C75" w:rsidP="00951337">
      <w:pPr>
        <w:spacing w:after="0" w:line="480" w:lineRule="auto"/>
        <w:jc w:val="center"/>
        <w:rPr>
          <w:rFonts w:ascii="Times New Roman" w:eastAsia="Times New Roman" w:hAnsi="Times New Roman" w:cs="Times New Roman"/>
          <w:sz w:val="24"/>
          <w:szCs w:val="24"/>
        </w:rPr>
      </w:pPr>
      <w:r>
        <w:rPr>
          <w:noProof/>
        </w:rPr>
        <w:drawing>
          <wp:inline distT="0" distB="0" distL="0" distR="0" wp14:anchorId="2BEA138F" wp14:editId="4DFD1550">
            <wp:extent cx="4059051" cy="3120465"/>
            <wp:effectExtent l="57150" t="19050" r="55880" b="990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4C75" w:rsidRDefault="00BF4C75" w:rsidP="00BF4C75">
      <w:pPr>
        <w:pStyle w:val="Heading2"/>
        <w:spacing w:before="0"/>
        <w:rPr>
          <w:rFonts w:eastAsia="Times New Roman"/>
        </w:rPr>
      </w:pPr>
      <w:bookmarkStart w:id="18" w:name="_Debt-to-Equity_Ratio"/>
      <w:bookmarkStart w:id="19" w:name="_Toc342825334"/>
      <w:bookmarkEnd w:id="18"/>
      <w:r>
        <w:rPr>
          <w:rFonts w:eastAsia="Times New Roman"/>
        </w:rPr>
        <w:lastRenderedPageBreak/>
        <w:t>Debt-to-Equity Ratio</w:t>
      </w:r>
      <w:bookmarkEnd w:id="19"/>
    </w:p>
    <w:p w:rsidR="00BF4C75" w:rsidRDefault="00BF4C75" w:rsidP="00951337">
      <w:pPr>
        <w:spacing w:after="0" w:line="480" w:lineRule="auto"/>
        <w:jc w:val="center"/>
        <w:rPr>
          <w:rFonts w:ascii="Times New Roman" w:eastAsia="Times New Roman" w:hAnsi="Times New Roman" w:cs="Times New Roman"/>
          <w:sz w:val="24"/>
          <w:szCs w:val="24"/>
        </w:rPr>
      </w:pPr>
      <w:r>
        <w:rPr>
          <w:noProof/>
        </w:rPr>
        <w:drawing>
          <wp:inline distT="0" distB="0" distL="0" distR="0" wp14:anchorId="01277908" wp14:editId="625AC8A6">
            <wp:extent cx="4097338" cy="3286125"/>
            <wp:effectExtent l="57150" t="19050" r="55880" b="857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4C75" w:rsidRDefault="00BF4C75" w:rsidP="00BF4C75">
      <w:pPr>
        <w:pStyle w:val="Heading2"/>
        <w:spacing w:before="0"/>
        <w:rPr>
          <w:rFonts w:eastAsia="Times New Roman"/>
        </w:rPr>
      </w:pPr>
      <w:bookmarkStart w:id="20" w:name="_Total_Asset_Turnover"/>
      <w:bookmarkStart w:id="21" w:name="_Toc342825335"/>
      <w:bookmarkEnd w:id="20"/>
      <w:r>
        <w:rPr>
          <w:rFonts w:eastAsia="Times New Roman"/>
        </w:rPr>
        <w:t>Total Asset Turnover</w:t>
      </w:r>
      <w:bookmarkEnd w:id="21"/>
    </w:p>
    <w:p w:rsidR="00BF4C75" w:rsidRDefault="00BF4C75" w:rsidP="00951337">
      <w:pPr>
        <w:spacing w:after="0" w:line="480" w:lineRule="auto"/>
        <w:jc w:val="center"/>
        <w:rPr>
          <w:rFonts w:ascii="Times New Roman" w:eastAsia="Times New Roman" w:hAnsi="Times New Roman" w:cs="Times New Roman"/>
          <w:sz w:val="24"/>
          <w:szCs w:val="24"/>
        </w:rPr>
      </w:pPr>
      <w:r>
        <w:rPr>
          <w:noProof/>
        </w:rPr>
        <w:drawing>
          <wp:inline distT="0" distB="0" distL="0" distR="0" wp14:anchorId="4FD0709B" wp14:editId="0A7CC99F">
            <wp:extent cx="4097338" cy="3286125"/>
            <wp:effectExtent l="57150" t="19050" r="55880" b="857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4C75" w:rsidRDefault="00BF4C75" w:rsidP="00BF4C75">
      <w:pPr>
        <w:pStyle w:val="Heading2"/>
        <w:spacing w:before="0"/>
        <w:rPr>
          <w:rFonts w:eastAsia="Times New Roman"/>
        </w:rPr>
      </w:pPr>
      <w:bookmarkStart w:id="22" w:name="_Accounts_Receivable_Turnover"/>
      <w:bookmarkStart w:id="23" w:name="_Toc342825336"/>
      <w:bookmarkEnd w:id="22"/>
      <w:r>
        <w:rPr>
          <w:rFonts w:eastAsia="Times New Roman"/>
        </w:rPr>
        <w:lastRenderedPageBreak/>
        <w:t>Accounts Receivable Turnover</w:t>
      </w:r>
      <w:bookmarkEnd w:id="23"/>
    </w:p>
    <w:p w:rsidR="00BF4C75" w:rsidRDefault="00BF4C75" w:rsidP="00951337">
      <w:pPr>
        <w:spacing w:after="0" w:line="480" w:lineRule="auto"/>
        <w:jc w:val="center"/>
        <w:rPr>
          <w:rFonts w:ascii="Times New Roman" w:eastAsia="Times New Roman" w:hAnsi="Times New Roman" w:cs="Times New Roman"/>
          <w:sz w:val="24"/>
          <w:szCs w:val="24"/>
        </w:rPr>
      </w:pPr>
      <w:r>
        <w:rPr>
          <w:noProof/>
        </w:rPr>
        <w:drawing>
          <wp:inline distT="0" distB="0" distL="0" distR="0" wp14:anchorId="704F8E08" wp14:editId="3708CEBB">
            <wp:extent cx="4097338" cy="3286125"/>
            <wp:effectExtent l="57150" t="19050" r="55880" b="857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4C75" w:rsidRDefault="00BF4C75" w:rsidP="00BF4C75">
      <w:pPr>
        <w:pStyle w:val="Heading2"/>
        <w:spacing w:before="0"/>
        <w:rPr>
          <w:rFonts w:eastAsia="Times New Roman"/>
        </w:rPr>
      </w:pPr>
      <w:bookmarkStart w:id="24" w:name="_Cash_Flow_per"/>
      <w:bookmarkStart w:id="25" w:name="_Toc342825337"/>
      <w:bookmarkEnd w:id="24"/>
      <w:r>
        <w:rPr>
          <w:rFonts w:eastAsia="Times New Roman"/>
        </w:rPr>
        <w:t>Cash Flow per Share</w:t>
      </w:r>
      <w:bookmarkEnd w:id="25"/>
    </w:p>
    <w:p w:rsidR="00BF4C75" w:rsidRPr="0015243A" w:rsidRDefault="00BF4C75" w:rsidP="00951337">
      <w:pPr>
        <w:spacing w:after="0" w:line="480" w:lineRule="auto"/>
        <w:jc w:val="center"/>
        <w:rPr>
          <w:rFonts w:ascii="Times New Roman" w:eastAsia="Times New Roman" w:hAnsi="Times New Roman" w:cs="Times New Roman"/>
          <w:sz w:val="24"/>
          <w:szCs w:val="24"/>
        </w:rPr>
      </w:pPr>
      <w:r>
        <w:rPr>
          <w:noProof/>
        </w:rPr>
        <w:drawing>
          <wp:inline distT="0" distB="0" distL="0" distR="0" wp14:anchorId="67EF9F24" wp14:editId="6EB925A8">
            <wp:extent cx="4097338" cy="3286125"/>
            <wp:effectExtent l="57150" t="19050" r="55880" b="857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243A" w:rsidRPr="0015243A" w:rsidRDefault="0015243A" w:rsidP="0015243A">
      <w:pPr>
        <w:pStyle w:val="Heading1"/>
        <w:spacing w:line="480" w:lineRule="auto"/>
        <w:rPr>
          <w:rFonts w:eastAsia="Times New Roman"/>
        </w:rPr>
      </w:pPr>
      <w:bookmarkStart w:id="26" w:name="_APPENDIX_4-_Assumptions"/>
      <w:bookmarkStart w:id="27" w:name="_Toc342825338"/>
      <w:bookmarkEnd w:id="26"/>
      <w:r w:rsidRPr="0015243A">
        <w:rPr>
          <w:rFonts w:eastAsia="Times New Roman"/>
        </w:rPr>
        <w:lastRenderedPageBreak/>
        <w:t>APPENDIX 4- Assumptions to Industry</w:t>
      </w:r>
      <w:bookmarkEnd w:id="27"/>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 xml:space="preserve">Due to the market crash in 2008 which severely affected the construction industry, the ratios changed dramatically during 2008-2010. From the industry ratios trending upward in 2011, it is assumed that the market is recovering slightly. </w:t>
      </w:r>
    </w:p>
    <w:p w:rsidR="0015243A" w:rsidRPr="0015243A" w:rsidRDefault="0015243A" w:rsidP="0015243A">
      <w:pPr>
        <w:pStyle w:val="Heading2"/>
        <w:spacing w:line="480" w:lineRule="auto"/>
        <w:rPr>
          <w:rFonts w:eastAsia="Times New Roman"/>
        </w:rPr>
      </w:pPr>
      <w:bookmarkStart w:id="28" w:name="_Toc342825339"/>
      <w:r w:rsidRPr="0015243A">
        <w:rPr>
          <w:rFonts w:eastAsia="Times New Roman"/>
        </w:rPr>
        <w:t>Long term Debt</w:t>
      </w:r>
      <w:bookmarkEnd w:id="28"/>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With debt management there was a significant change in the total long term debt numbers between 2010 and 2011 increasing in approximately $500 million. From the cash flow statement, Fluor added approximately $495 million in senior notes which are notes that take priority over notes that are unsecured. Fluor has never done this in the five years studied which suggests that they are financing heavily in 2011. In 2011, Fluor also repurchased  stocks about five times more than they did in prior years. Perhaps in an effort to reissue stocks at a different price.</w:t>
      </w:r>
    </w:p>
    <w:p w:rsidR="0015243A" w:rsidRPr="0015243A" w:rsidRDefault="0015243A" w:rsidP="005A6AE5">
      <w:pPr>
        <w:pStyle w:val="Heading2"/>
        <w:rPr>
          <w:rFonts w:eastAsia="Times New Roman"/>
        </w:rPr>
      </w:pPr>
      <w:bookmarkStart w:id="29" w:name="_Toc342825340"/>
      <w:r w:rsidRPr="0015243A">
        <w:rPr>
          <w:rFonts w:eastAsia="Times New Roman"/>
        </w:rPr>
        <w:t>Receivables</w:t>
      </w:r>
      <w:bookmarkEnd w:id="29"/>
    </w:p>
    <w:p w:rsidR="0015243A" w:rsidRPr="0015243A" w:rsidRDefault="0015243A" w:rsidP="0015243A">
      <w:pPr>
        <w:spacing w:after="0" w:line="480" w:lineRule="auto"/>
        <w:ind w:firstLine="720"/>
        <w:rPr>
          <w:rFonts w:ascii="Times New Roman" w:eastAsia="Times New Roman" w:hAnsi="Times New Roman" w:cs="Times New Roman"/>
          <w:sz w:val="24"/>
          <w:szCs w:val="24"/>
        </w:rPr>
      </w:pPr>
      <w:r w:rsidRPr="0015243A">
        <w:rPr>
          <w:rFonts w:ascii="Times New Roman" w:eastAsia="Times New Roman" w:hAnsi="Times New Roman" w:cs="Times New Roman"/>
          <w:color w:val="000000"/>
          <w:sz w:val="24"/>
          <w:szCs w:val="24"/>
        </w:rPr>
        <w:t>For receivables it is possible that due to the weak industry, vendors and clients of these companies would also suffer. Thus, it is plausible that due to this reason, the receivables turnover during those years decreased. The credit plan for the companies’ vendors and clients were probably more lenient to support ongoing relations during the hard times.</w:t>
      </w:r>
    </w:p>
    <w:p w:rsidR="0015243A" w:rsidRPr="0015243A" w:rsidRDefault="0015243A" w:rsidP="0015243A">
      <w:pPr>
        <w:spacing w:after="240" w:line="480" w:lineRule="auto"/>
        <w:rPr>
          <w:rFonts w:ascii="Times New Roman" w:eastAsia="Times New Roman" w:hAnsi="Times New Roman" w:cs="Times New Roman"/>
          <w:sz w:val="24"/>
          <w:szCs w:val="24"/>
        </w:rPr>
      </w:pPr>
      <w:r w:rsidRPr="0015243A">
        <w:rPr>
          <w:rFonts w:ascii="Times New Roman" w:eastAsia="Times New Roman" w:hAnsi="Times New Roman" w:cs="Times New Roman"/>
          <w:sz w:val="24"/>
          <w:szCs w:val="24"/>
        </w:rPr>
        <w:br/>
      </w:r>
      <w:r w:rsidRPr="0015243A">
        <w:rPr>
          <w:rFonts w:ascii="Times New Roman" w:eastAsia="Times New Roman" w:hAnsi="Times New Roman" w:cs="Times New Roman"/>
          <w:sz w:val="24"/>
          <w:szCs w:val="24"/>
        </w:rPr>
        <w:br/>
      </w:r>
    </w:p>
    <w:p w:rsidR="0015243A" w:rsidRPr="0015243A" w:rsidRDefault="0015243A" w:rsidP="0015243A">
      <w:pPr>
        <w:pStyle w:val="Heading1"/>
        <w:spacing w:line="480" w:lineRule="auto"/>
        <w:rPr>
          <w:rFonts w:eastAsia="Times New Roman"/>
        </w:rPr>
      </w:pPr>
      <w:bookmarkStart w:id="30" w:name="_Toc342825341"/>
      <w:r w:rsidRPr="0015243A">
        <w:rPr>
          <w:rFonts w:eastAsia="Times New Roman"/>
        </w:rPr>
        <w:lastRenderedPageBreak/>
        <w:t>APPENDIX 5 - Risk Analysis Calculations</w:t>
      </w:r>
      <w:bookmarkEnd w:id="30"/>
    </w:p>
    <w:p w:rsidR="0015243A" w:rsidRPr="0015243A" w:rsidRDefault="0015243A" w:rsidP="005A6AE5">
      <w:pPr>
        <w:pStyle w:val="Heading2"/>
        <w:rPr>
          <w:rFonts w:eastAsia="Times New Roman"/>
        </w:rPr>
      </w:pPr>
      <w:bookmarkStart w:id="31" w:name="_Toc342825342"/>
      <w:r w:rsidRPr="0015243A">
        <w:rPr>
          <w:rFonts w:eastAsia="Times New Roman"/>
        </w:rPr>
        <w:t>Regression Analysis</w:t>
      </w:r>
      <w:bookmarkEnd w:id="31"/>
    </w:p>
    <w:tbl>
      <w:tblPr>
        <w:tblW w:w="0" w:type="auto"/>
        <w:tblLayout w:type="fixed"/>
        <w:tblCellMar>
          <w:left w:w="0" w:type="dxa"/>
          <w:right w:w="0" w:type="dxa"/>
        </w:tblCellMar>
        <w:tblLook w:val="04A0" w:firstRow="1" w:lastRow="0" w:firstColumn="1" w:lastColumn="0" w:noHBand="0" w:noVBand="1"/>
      </w:tblPr>
      <w:tblGrid>
        <w:gridCol w:w="1161"/>
        <w:gridCol w:w="1191"/>
        <w:gridCol w:w="1151"/>
        <w:gridCol w:w="1121"/>
        <w:gridCol w:w="1892"/>
        <w:gridCol w:w="1322"/>
        <w:gridCol w:w="1322"/>
      </w:tblGrid>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r w:rsidRPr="0015243A">
              <w:rPr>
                <w:rFonts w:ascii="Arial" w:eastAsia="Times New Roman" w:hAnsi="Arial" w:cs="Arial"/>
                <w:color w:val="000000"/>
                <w:sz w:val="18"/>
                <w:szCs w:val="18"/>
              </w:rPr>
              <w:t>Time period</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Price(Stock)</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DPS(Stock)</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Split Factor</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S&amp;P 500 Index Level</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Return(Stock)</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Return(</w:t>
            </w:r>
            <w:proofErr w:type="spellStart"/>
            <w:r w:rsidRPr="0015243A">
              <w:rPr>
                <w:rFonts w:ascii="Arial" w:eastAsia="Times New Roman" w:hAnsi="Arial" w:cs="Arial"/>
                <w:color w:val="000000"/>
                <w:sz w:val="18"/>
                <w:szCs w:val="18"/>
              </w:rPr>
              <w:t>Mkt</w:t>
            </w:r>
            <w:proofErr w:type="spellEnd"/>
            <w:r w:rsidRPr="0015243A">
              <w:rPr>
                <w:rFonts w:ascii="Arial" w:eastAsia="Times New Roman" w:hAnsi="Arial" w:cs="Arial"/>
                <w:color w:val="000000"/>
                <w:sz w:val="18"/>
                <w:szCs w:val="18"/>
              </w:rPr>
              <w:t>)</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12/3/2007</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145.72</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1468.36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121.49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0.25</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1378.55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-0.164562174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-0.065148163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2/1/2008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139.25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1330.63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0.146184871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-0.036013016</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3/3/2008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141.16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1322.7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0.013716338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-0.005995313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152.87</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0.25</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1385.59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0.084726551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0.045388607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186.55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1400.38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0.220317917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0.010561419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6/2/2008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186.08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1280</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-0.002519432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-0.094046875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81.35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1.5</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1267.38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-0.343185727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-0.00995755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80.13</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1282.83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-0.014996927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0.012043685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9/2/2008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55.7</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1166.36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-0.304879571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-0.099857677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39.93</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968.75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-0.280789946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-0.203984516</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11/3/2008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45.54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896.24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0.140495868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-0.080904668</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12/1/2008</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44.87</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903.25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-0.014712341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0.007760864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38.9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825.88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-0.130153778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-0.093681891</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2/2/2009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33.25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735.09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-0.145244216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-0.123508686</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3/2/2009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34.55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797.87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0.039097744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0.078684497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37.87</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872.81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0.099855282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0.085860611</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lastRenderedPageBreak/>
              <w:t>5/1/2009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46.98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919.14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0.24055981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0.050405814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51.29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919.32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0.091741166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0.000195797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52.8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987.48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0.031975044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0.069024183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8/3/2009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52.9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1020.62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0.001893939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0.032470459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50.85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1057.08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-0.038752363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0.03449124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44.42</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1036.19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-0.123893805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-0.020160395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11/2/2009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42.48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1095.63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-0.043674021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0.054251892</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12/1/2009</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45.04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1115.1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0.060263653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0.017460317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45.34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1073.87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0.009547069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-0.038393847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2/1/2010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42.8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1104.49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-0.056021173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0.027723203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46.51</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1169.43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0.086682243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0.055531327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52.84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1186.69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0.138894861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0.014544658</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5/3/2010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46.92</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1089.41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-0.112036336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-0.089296041</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42.5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1030.71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-0.094202899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-0.056951034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48.29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1101.6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0.139294118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0.064351852</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8/2/2010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44.66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1049.33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-0.075170843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-0.049812738</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49.53</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1141.2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0.109046126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0.080502979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48.19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1183.26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-0.024429639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0.035545865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57.83</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1180.55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0.200041502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-0.00229554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12/1/2010</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66.26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1257.64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0.145772091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0.061297351</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lastRenderedPageBreak/>
              <w:t>1/3/2011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69.19</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1286.12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0.046181708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0.022144123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2/1/2011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70.76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1327.22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0.02269114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0.030966984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73.66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1325.83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0.040983607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-0.0010484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69.94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1363.61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-0.048737442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0.027705869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5/2/2011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68.93</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1345.2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-0.014440949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-0.013685697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64.66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1320.64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-0.061946903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-0.018597044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63.53</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1292.28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-0.015465512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-0.021945708</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60.72</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1218.89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-0.044231072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-0.060210519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9/1/2011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46.55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1131.42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-0.233366271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-0.077309929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10/3/2011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56.85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1253.3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0.22406015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0.097247267</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54.82</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1246.96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-0.035708004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-0.005084365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12/1/2011</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50.25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1257.6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-0.083363736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0.00846056</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56.24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0.13</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1312.41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0.121791045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0.041762864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2/1/2012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60.48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1365.68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0.075391181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0.039006209</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3/1/2012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60.04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1408.47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-0.007275132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0.030380484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4/2/2012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57.75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0.16</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1397.91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-0.035476349</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-0.007554134</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46.88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1310.33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-0.188225108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-0.066838125</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6/1/2012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49.34</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1362.16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0.052474403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0.038049862</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7/2/2012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49.58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0.16</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1379.32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0.008107013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0.012440913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8/1/2012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51.5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1406.58</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0.038725292</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0.019380341</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lastRenderedPageBreak/>
              <w:t>9/4/2012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56.28</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1440.67</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0.092815534</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0.023662601</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10/1/2012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55.85</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0.16</w:t>
            </w: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1412.16</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-0.004797441</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-0.02018893</w:t>
            </w:r>
          </w:p>
        </w:tc>
      </w:tr>
      <w:tr w:rsidR="0015243A" w:rsidRPr="0015243A" w:rsidTr="0015243A">
        <w:trPr>
          <w:trHeight w:val="20"/>
        </w:trPr>
        <w:tc>
          <w:tcPr>
            <w:tcW w:w="1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11/1/2012</w:t>
            </w:r>
          </w:p>
        </w:tc>
        <w:tc>
          <w:tcPr>
            <w:tcW w:w="11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52.16</w:t>
            </w:r>
          </w:p>
        </w:tc>
        <w:tc>
          <w:tcPr>
            <w:tcW w:w="11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rPr>
                <w:rFonts w:ascii="Arial" w:eastAsia="Times New Roman" w:hAnsi="Arial" w:cs="Arial"/>
                <w:sz w:val="18"/>
                <w:szCs w:val="18"/>
              </w:rPr>
            </w:pPr>
          </w:p>
        </w:tc>
        <w:tc>
          <w:tcPr>
            <w:tcW w:w="11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w:t>
            </w:r>
          </w:p>
        </w:tc>
        <w:tc>
          <w:tcPr>
            <w:tcW w:w="18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color w:val="000000"/>
                <w:sz w:val="18"/>
                <w:szCs w:val="18"/>
              </w:rPr>
              <w:t>1379.85</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-0.06606983</w:t>
            </w:r>
          </w:p>
        </w:tc>
        <w:tc>
          <w:tcPr>
            <w:tcW w:w="13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243A" w:rsidRPr="0015243A" w:rsidRDefault="0015243A" w:rsidP="0015243A">
            <w:pPr>
              <w:spacing w:after="0" w:line="480" w:lineRule="auto"/>
              <w:jc w:val="center"/>
              <w:rPr>
                <w:rFonts w:ascii="Arial" w:eastAsia="Times New Roman" w:hAnsi="Arial" w:cs="Arial"/>
                <w:sz w:val="18"/>
                <w:szCs w:val="18"/>
              </w:rPr>
            </w:pPr>
            <w:r w:rsidRPr="0015243A">
              <w:rPr>
                <w:rFonts w:ascii="Arial" w:eastAsia="Times New Roman" w:hAnsi="Arial" w:cs="Arial"/>
                <w:b/>
                <w:bCs/>
                <w:color w:val="000000"/>
                <w:sz w:val="18"/>
                <w:szCs w:val="18"/>
              </w:rPr>
              <w:t>-0.023415589</w:t>
            </w:r>
          </w:p>
        </w:tc>
      </w:tr>
    </w:tbl>
    <w:p w:rsidR="0015243A" w:rsidRPr="0015243A" w:rsidRDefault="0015243A" w:rsidP="005A6AE5">
      <w:pPr>
        <w:pStyle w:val="Heading2"/>
        <w:rPr>
          <w:rFonts w:eastAsia="Times New Roman"/>
        </w:rPr>
      </w:pPr>
      <w:bookmarkStart w:id="32" w:name="_Toc342825343"/>
      <w:r w:rsidRPr="0015243A">
        <w:rPr>
          <w:rFonts w:eastAsia="Times New Roman"/>
        </w:rPr>
        <w:t>Cost Of</w:t>
      </w:r>
      <w:r w:rsidR="00CB3046">
        <w:rPr>
          <w:rFonts w:eastAsia="Times New Roman"/>
        </w:rPr>
        <w:t xml:space="preserve"> </w:t>
      </w:r>
      <w:r w:rsidRPr="0015243A">
        <w:rPr>
          <w:rFonts w:eastAsia="Times New Roman"/>
        </w:rPr>
        <w:t>Equity</w:t>
      </w:r>
      <w:bookmarkEnd w:id="32"/>
    </w:p>
    <w:p w:rsidR="0015243A" w:rsidRPr="0015243A" w:rsidRDefault="0015243A" w:rsidP="00CB3046">
      <w:pPr>
        <w:pStyle w:val="Heading3"/>
        <w:rPr>
          <w:rFonts w:eastAsia="Times New Roman"/>
        </w:rPr>
      </w:pPr>
      <w:bookmarkStart w:id="33" w:name="_Toc342825344"/>
      <w:r w:rsidRPr="0015243A">
        <w:rPr>
          <w:rFonts w:eastAsia="Times New Roman"/>
        </w:rPr>
        <w:t>Equation</w:t>
      </w:r>
      <w:bookmarkEnd w:id="33"/>
    </w:p>
    <w:p w:rsidR="0015243A" w:rsidRPr="00CB3046" w:rsidRDefault="0015243A" w:rsidP="00CB3046">
      <w:pPr>
        <w:pStyle w:val="ListParagraph"/>
        <w:numPr>
          <w:ilvl w:val="0"/>
          <w:numId w:val="1"/>
        </w:numPr>
        <w:spacing w:after="0" w:line="480" w:lineRule="auto"/>
        <w:jc w:val="both"/>
        <w:rPr>
          <w:rFonts w:ascii="Times New Roman" w:eastAsia="Times New Roman" w:hAnsi="Times New Roman" w:cs="Times New Roman"/>
          <w:sz w:val="24"/>
          <w:szCs w:val="24"/>
        </w:rPr>
      </w:pP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i</w:t>
      </w:r>
      <w:proofErr w:type="spellEnd"/>
      <w:r w:rsidRPr="00CB3046">
        <w:rPr>
          <w:rFonts w:ascii="Times New Roman" w:eastAsia="Times New Roman" w:hAnsi="Times New Roman" w:cs="Times New Roman"/>
          <w:color w:val="000000"/>
          <w:sz w:val="24"/>
          <w:szCs w:val="24"/>
        </w:rPr>
        <w:t xml:space="preserve"> = </w:t>
      </w: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f</w:t>
      </w:r>
      <w:proofErr w:type="spellEnd"/>
      <w:r w:rsidRPr="00CB3046">
        <w:rPr>
          <w:rFonts w:ascii="Times New Roman" w:eastAsia="Times New Roman" w:hAnsi="Times New Roman" w:cs="Times New Roman"/>
          <w:color w:val="000000"/>
          <w:sz w:val="24"/>
          <w:szCs w:val="24"/>
        </w:rPr>
        <w:t xml:space="preserve"> + Beta(</w:t>
      </w: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m</w:t>
      </w:r>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f</w:t>
      </w:r>
      <w:proofErr w:type="spellEnd"/>
      <w:r w:rsidRPr="00CB3046">
        <w:rPr>
          <w:rFonts w:ascii="Times New Roman" w:eastAsia="Times New Roman" w:hAnsi="Times New Roman" w:cs="Times New Roman"/>
          <w:color w:val="000000"/>
          <w:sz w:val="24"/>
          <w:szCs w:val="24"/>
        </w:rPr>
        <w:t>)</w:t>
      </w:r>
    </w:p>
    <w:p w:rsidR="0015243A" w:rsidRPr="0015243A" w:rsidRDefault="0015243A" w:rsidP="00CB3046">
      <w:pPr>
        <w:pStyle w:val="Heading3"/>
        <w:rPr>
          <w:rFonts w:eastAsia="Times New Roman"/>
        </w:rPr>
      </w:pPr>
      <w:bookmarkStart w:id="34" w:name="_Toc342825345"/>
      <w:r w:rsidRPr="0015243A">
        <w:rPr>
          <w:rFonts w:eastAsia="Times New Roman"/>
        </w:rPr>
        <w:t>Variables</w:t>
      </w:r>
      <w:bookmarkEnd w:id="34"/>
    </w:p>
    <w:p w:rsidR="0015243A" w:rsidRPr="00CB3046" w:rsidRDefault="0015243A" w:rsidP="00CB3046">
      <w:pPr>
        <w:pStyle w:val="ListParagraph"/>
        <w:numPr>
          <w:ilvl w:val="0"/>
          <w:numId w:val="1"/>
        </w:numPr>
        <w:spacing w:after="0" w:line="480" w:lineRule="auto"/>
        <w:jc w:val="both"/>
        <w:rPr>
          <w:rFonts w:ascii="Times New Roman" w:eastAsia="Times New Roman" w:hAnsi="Times New Roman" w:cs="Times New Roman"/>
          <w:sz w:val="24"/>
          <w:szCs w:val="24"/>
        </w:rPr>
      </w:pPr>
      <w:r w:rsidRPr="00CB3046">
        <w:rPr>
          <w:rFonts w:ascii="Times New Roman" w:eastAsia="Times New Roman" w:hAnsi="Times New Roman" w:cs="Times New Roman"/>
          <w:color w:val="000000"/>
          <w:sz w:val="24"/>
          <w:szCs w:val="24"/>
        </w:rPr>
        <w:t>Beta = 1.37</w:t>
      </w:r>
    </w:p>
    <w:p w:rsidR="0015243A" w:rsidRPr="00CB3046" w:rsidRDefault="0015243A" w:rsidP="00CB3046">
      <w:pPr>
        <w:pStyle w:val="ListParagraph"/>
        <w:numPr>
          <w:ilvl w:val="0"/>
          <w:numId w:val="1"/>
        </w:numPr>
        <w:spacing w:after="0" w:line="480" w:lineRule="auto"/>
        <w:jc w:val="both"/>
        <w:rPr>
          <w:rFonts w:ascii="Times New Roman" w:eastAsia="Times New Roman" w:hAnsi="Times New Roman" w:cs="Times New Roman"/>
          <w:sz w:val="24"/>
          <w:szCs w:val="24"/>
        </w:rPr>
      </w:pPr>
      <w:r w:rsidRPr="00CB3046">
        <w:rPr>
          <w:rFonts w:ascii="Times New Roman" w:eastAsia="Times New Roman" w:hAnsi="Times New Roman" w:cs="Times New Roman"/>
          <w:color w:val="000000"/>
          <w:sz w:val="24"/>
          <w:szCs w:val="24"/>
        </w:rPr>
        <w:t>Beta Lower (95%) = 0.93</w:t>
      </w:r>
    </w:p>
    <w:p w:rsidR="0015243A" w:rsidRPr="00CB3046" w:rsidRDefault="0015243A" w:rsidP="00CB3046">
      <w:pPr>
        <w:pStyle w:val="ListParagraph"/>
        <w:numPr>
          <w:ilvl w:val="0"/>
          <w:numId w:val="1"/>
        </w:numPr>
        <w:spacing w:after="0" w:line="480" w:lineRule="auto"/>
        <w:jc w:val="both"/>
        <w:rPr>
          <w:rFonts w:ascii="Times New Roman" w:eastAsia="Times New Roman" w:hAnsi="Times New Roman" w:cs="Times New Roman"/>
          <w:sz w:val="24"/>
          <w:szCs w:val="24"/>
        </w:rPr>
      </w:pPr>
      <w:r w:rsidRPr="00CB3046">
        <w:rPr>
          <w:rFonts w:ascii="Times New Roman" w:eastAsia="Times New Roman" w:hAnsi="Times New Roman" w:cs="Times New Roman"/>
          <w:color w:val="000000"/>
          <w:sz w:val="24"/>
          <w:szCs w:val="24"/>
        </w:rPr>
        <w:t>Beta Upper (95%) = 1.91</w:t>
      </w:r>
    </w:p>
    <w:p w:rsidR="0015243A" w:rsidRPr="00CB3046" w:rsidRDefault="0015243A" w:rsidP="00CB3046">
      <w:pPr>
        <w:pStyle w:val="ListParagraph"/>
        <w:numPr>
          <w:ilvl w:val="0"/>
          <w:numId w:val="1"/>
        </w:numPr>
        <w:spacing w:after="0" w:line="480" w:lineRule="auto"/>
        <w:jc w:val="both"/>
        <w:rPr>
          <w:rFonts w:ascii="Times New Roman" w:eastAsia="Times New Roman" w:hAnsi="Times New Roman" w:cs="Times New Roman"/>
          <w:sz w:val="24"/>
          <w:szCs w:val="24"/>
        </w:rPr>
      </w:pP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f</w:t>
      </w:r>
      <w:proofErr w:type="spellEnd"/>
      <w:r w:rsidRPr="00CB3046">
        <w:rPr>
          <w:rFonts w:ascii="Times New Roman" w:eastAsia="Times New Roman" w:hAnsi="Times New Roman" w:cs="Times New Roman"/>
          <w:color w:val="000000"/>
          <w:sz w:val="24"/>
          <w:szCs w:val="24"/>
        </w:rPr>
        <w:t xml:space="preserve"> = 1.61%</w:t>
      </w:r>
    </w:p>
    <w:p w:rsidR="0015243A" w:rsidRPr="00CB3046" w:rsidRDefault="0015243A" w:rsidP="00CB3046">
      <w:pPr>
        <w:pStyle w:val="ListParagraph"/>
        <w:numPr>
          <w:ilvl w:val="0"/>
          <w:numId w:val="1"/>
        </w:numPr>
        <w:spacing w:after="0" w:line="480" w:lineRule="auto"/>
        <w:jc w:val="both"/>
        <w:rPr>
          <w:rFonts w:ascii="Times New Roman" w:eastAsia="Times New Roman" w:hAnsi="Times New Roman" w:cs="Times New Roman"/>
          <w:sz w:val="24"/>
          <w:szCs w:val="24"/>
        </w:rPr>
      </w:pP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m</w:t>
      </w:r>
      <w:proofErr w:type="spellEnd"/>
      <w:r w:rsidRPr="00CB3046">
        <w:rPr>
          <w:rFonts w:ascii="Times New Roman" w:eastAsia="Times New Roman" w:hAnsi="Times New Roman" w:cs="Times New Roman"/>
          <w:color w:val="000000"/>
          <w:sz w:val="24"/>
          <w:szCs w:val="24"/>
        </w:rPr>
        <w:t xml:space="preserve"> = 2.38%</w:t>
      </w:r>
    </w:p>
    <w:p w:rsidR="0015243A" w:rsidRPr="0015243A" w:rsidRDefault="0015243A" w:rsidP="00CB3046">
      <w:pPr>
        <w:pStyle w:val="Heading3"/>
        <w:rPr>
          <w:rFonts w:eastAsia="Times New Roman"/>
        </w:rPr>
      </w:pPr>
      <w:bookmarkStart w:id="35" w:name="_Toc342825346"/>
      <w:r w:rsidRPr="0015243A">
        <w:rPr>
          <w:rFonts w:eastAsia="Times New Roman"/>
        </w:rPr>
        <w:t>Output</w:t>
      </w:r>
      <w:bookmarkEnd w:id="35"/>
    </w:p>
    <w:p w:rsidR="0015243A" w:rsidRPr="00CB3046" w:rsidRDefault="0015243A" w:rsidP="00CB3046">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i</w:t>
      </w:r>
      <w:proofErr w:type="spellEnd"/>
      <w:r w:rsidRPr="00CB3046">
        <w:rPr>
          <w:rFonts w:ascii="Times New Roman" w:eastAsia="Times New Roman" w:hAnsi="Times New Roman" w:cs="Times New Roman"/>
          <w:color w:val="000000"/>
          <w:sz w:val="24"/>
          <w:szCs w:val="24"/>
        </w:rPr>
        <w:t xml:space="preserve"> (Beta) = 2.66%</w:t>
      </w:r>
    </w:p>
    <w:p w:rsidR="0015243A" w:rsidRPr="00CB3046" w:rsidRDefault="0015243A" w:rsidP="00CB3046">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i</w:t>
      </w:r>
      <w:proofErr w:type="spellEnd"/>
      <w:r w:rsidRPr="00CB3046">
        <w:rPr>
          <w:rFonts w:ascii="Times New Roman" w:eastAsia="Times New Roman" w:hAnsi="Times New Roman" w:cs="Times New Roman"/>
          <w:color w:val="000000"/>
          <w:sz w:val="24"/>
          <w:szCs w:val="24"/>
        </w:rPr>
        <w:t xml:space="preserve"> (Beta Lower Range) = 2.32%</w:t>
      </w:r>
    </w:p>
    <w:p w:rsidR="0015243A" w:rsidRPr="00CB3046" w:rsidRDefault="0015243A" w:rsidP="00CB3046">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CB3046">
        <w:rPr>
          <w:rFonts w:ascii="Times New Roman" w:eastAsia="Times New Roman" w:hAnsi="Times New Roman" w:cs="Times New Roman"/>
          <w:color w:val="000000"/>
          <w:sz w:val="24"/>
          <w:szCs w:val="24"/>
        </w:rPr>
        <w:t>R</w:t>
      </w:r>
      <w:r w:rsidRPr="00CB3046">
        <w:rPr>
          <w:rFonts w:ascii="Times New Roman" w:eastAsia="Times New Roman" w:hAnsi="Times New Roman" w:cs="Times New Roman"/>
          <w:color w:val="000000"/>
          <w:sz w:val="24"/>
          <w:szCs w:val="24"/>
          <w:vertAlign w:val="subscript"/>
        </w:rPr>
        <w:t>i</w:t>
      </w:r>
      <w:proofErr w:type="spellEnd"/>
      <w:r w:rsidRPr="00CB3046">
        <w:rPr>
          <w:rFonts w:ascii="Times New Roman" w:eastAsia="Times New Roman" w:hAnsi="Times New Roman" w:cs="Times New Roman"/>
          <w:color w:val="000000"/>
          <w:sz w:val="24"/>
          <w:szCs w:val="24"/>
        </w:rPr>
        <w:t xml:space="preserve"> (Beta Upper Range) = 3.00%</w:t>
      </w:r>
    </w:p>
    <w:p w:rsidR="00114108" w:rsidRPr="00114108" w:rsidRDefault="00114108" w:rsidP="00114108">
      <w:pPr>
        <w:pStyle w:val="Heading2"/>
        <w:rPr>
          <w:rFonts w:ascii="Times New Roman" w:eastAsia="Times New Roman" w:hAnsi="Times New Roman" w:cs="Times New Roman"/>
          <w:sz w:val="24"/>
          <w:szCs w:val="24"/>
        </w:rPr>
      </w:pPr>
      <w:bookmarkStart w:id="36" w:name="_Toc342825347"/>
      <w:r w:rsidRPr="00114108">
        <w:rPr>
          <w:rFonts w:eastAsia="Times New Roman"/>
        </w:rPr>
        <w:t>Cost of Debt</w:t>
      </w:r>
      <w:bookmarkEnd w:id="36"/>
      <w:r w:rsidRPr="00114108">
        <w:rPr>
          <w:rFonts w:ascii="Times New Roman" w:eastAsia="Times New Roman" w:hAnsi="Times New Roman" w:cs="Times New Roman"/>
          <w:sz w:val="24"/>
          <w:szCs w:val="24"/>
        </w:rPr>
        <w:tab/>
      </w:r>
      <w:r w:rsidRPr="00114108">
        <w:rPr>
          <w:rFonts w:ascii="Times New Roman" w:eastAsia="Times New Roman" w:hAnsi="Times New Roman" w:cs="Times New Roman"/>
          <w:sz w:val="24"/>
          <w:szCs w:val="24"/>
        </w:rPr>
        <w:tab/>
      </w:r>
    </w:p>
    <w:p w:rsidR="00114108" w:rsidRPr="00114108" w:rsidRDefault="00114108" w:rsidP="00887296">
      <w:pPr>
        <w:pStyle w:val="ListParagraph"/>
        <w:numPr>
          <w:ilvl w:val="0"/>
          <w:numId w:val="1"/>
        </w:numPr>
        <w:spacing w:after="0" w:line="480" w:lineRule="auto"/>
        <w:jc w:val="both"/>
        <w:rPr>
          <w:rFonts w:ascii="Times New Roman" w:eastAsia="Times New Roman" w:hAnsi="Times New Roman" w:cs="Times New Roman"/>
          <w:color w:val="000000"/>
          <w:sz w:val="24"/>
          <w:szCs w:val="24"/>
        </w:rPr>
      </w:pPr>
      <w:r w:rsidRPr="00114108">
        <w:rPr>
          <w:rFonts w:ascii="Times New Roman" w:eastAsia="Times New Roman" w:hAnsi="Times New Roman" w:cs="Times New Roman"/>
          <w:color w:val="000000"/>
          <w:sz w:val="24"/>
          <w:szCs w:val="24"/>
        </w:rPr>
        <w:t>Beta</w:t>
      </w:r>
      <w:r w:rsidR="008872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887296">
        <w:rPr>
          <w:rFonts w:ascii="Times New Roman" w:eastAsia="Times New Roman" w:hAnsi="Times New Roman" w:cs="Times New Roman"/>
          <w:color w:val="000000"/>
          <w:sz w:val="24"/>
          <w:szCs w:val="24"/>
        </w:rPr>
        <w:t xml:space="preserve"> </w:t>
      </w:r>
      <w:r w:rsidRPr="00114108">
        <w:rPr>
          <w:rFonts w:ascii="Times New Roman" w:eastAsia="Times New Roman" w:hAnsi="Times New Roman" w:cs="Times New Roman"/>
          <w:color w:val="000000"/>
          <w:sz w:val="24"/>
          <w:szCs w:val="24"/>
        </w:rPr>
        <w:t>0.05</w:t>
      </w:r>
      <w:r w:rsidRPr="00114108">
        <w:rPr>
          <w:rFonts w:ascii="Times New Roman" w:eastAsia="Times New Roman" w:hAnsi="Times New Roman" w:cs="Times New Roman"/>
          <w:color w:val="000000"/>
          <w:sz w:val="24"/>
          <w:szCs w:val="24"/>
        </w:rPr>
        <w:tab/>
      </w:r>
    </w:p>
    <w:p w:rsidR="00114108" w:rsidRPr="00114108" w:rsidRDefault="00114108" w:rsidP="00887296">
      <w:pPr>
        <w:pStyle w:val="ListParagraph"/>
        <w:numPr>
          <w:ilvl w:val="0"/>
          <w:numId w:val="1"/>
        </w:numPr>
        <w:spacing w:after="0" w:line="480" w:lineRule="auto"/>
        <w:jc w:val="both"/>
        <w:rPr>
          <w:rFonts w:ascii="Times New Roman" w:eastAsia="Times New Roman" w:hAnsi="Times New Roman" w:cs="Times New Roman"/>
          <w:color w:val="000000"/>
          <w:sz w:val="24"/>
          <w:szCs w:val="24"/>
        </w:rPr>
      </w:pPr>
      <w:proofErr w:type="spellStart"/>
      <w:r w:rsidRPr="00114108">
        <w:rPr>
          <w:rFonts w:ascii="Times New Roman" w:eastAsia="Times New Roman" w:hAnsi="Times New Roman" w:cs="Times New Roman"/>
          <w:color w:val="000000"/>
          <w:sz w:val="24"/>
          <w:szCs w:val="24"/>
        </w:rPr>
        <w:t>R</w:t>
      </w:r>
      <w:r w:rsidRPr="00114108">
        <w:rPr>
          <w:rFonts w:ascii="Times New Roman" w:eastAsia="Times New Roman" w:hAnsi="Times New Roman" w:cs="Times New Roman"/>
          <w:color w:val="000000"/>
          <w:sz w:val="24"/>
          <w:szCs w:val="24"/>
          <w:vertAlign w:val="subscript"/>
        </w:rPr>
        <w:t>f</w:t>
      </w:r>
      <w:proofErr w:type="spellEnd"/>
      <w:r>
        <w:rPr>
          <w:rFonts w:ascii="Times New Roman" w:eastAsia="Times New Roman" w:hAnsi="Times New Roman" w:cs="Times New Roman"/>
          <w:color w:val="000000"/>
          <w:sz w:val="24"/>
          <w:szCs w:val="24"/>
        </w:rPr>
        <w:t xml:space="preserve"> =</w:t>
      </w:r>
      <w:r w:rsidR="008872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1.61</w:t>
      </w:r>
      <w:r>
        <w:rPr>
          <w:rFonts w:ascii="Times New Roman" w:eastAsia="Times New Roman" w:hAnsi="Times New Roman" w:cs="Times New Roman"/>
          <w:color w:val="000000"/>
          <w:sz w:val="24"/>
          <w:szCs w:val="24"/>
        </w:rPr>
        <w:tab/>
        <w:t>(</w:t>
      </w:r>
      <w:r w:rsidRPr="00114108">
        <w:rPr>
          <w:rFonts w:ascii="Times New Roman" w:eastAsia="Times New Roman" w:hAnsi="Times New Roman" w:cs="Times New Roman"/>
          <w:color w:val="000000"/>
          <w:sz w:val="24"/>
          <w:szCs w:val="24"/>
        </w:rPr>
        <w:t>10-yr U.S. Bond Rate</w:t>
      </w:r>
      <w:r>
        <w:rPr>
          <w:rFonts w:ascii="Times New Roman" w:eastAsia="Times New Roman" w:hAnsi="Times New Roman" w:cs="Times New Roman"/>
          <w:color w:val="000000"/>
          <w:sz w:val="24"/>
          <w:szCs w:val="24"/>
        </w:rPr>
        <w:t>)</w:t>
      </w:r>
    </w:p>
    <w:p w:rsidR="00114108" w:rsidRPr="00114108" w:rsidRDefault="00114108" w:rsidP="00887296">
      <w:pPr>
        <w:pStyle w:val="ListParagraph"/>
        <w:numPr>
          <w:ilvl w:val="0"/>
          <w:numId w:val="1"/>
        </w:numPr>
        <w:spacing w:after="0" w:line="480" w:lineRule="auto"/>
        <w:jc w:val="both"/>
        <w:rPr>
          <w:rFonts w:ascii="Times New Roman" w:eastAsia="Times New Roman" w:hAnsi="Times New Roman" w:cs="Times New Roman"/>
          <w:color w:val="000000"/>
          <w:sz w:val="24"/>
          <w:szCs w:val="24"/>
        </w:rPr>
      </w:pPr>
      <w:proofErr w:type="spellStart"/>
      <w:r w:rsidRPr="00114108">
        <w:rPr>
          <w:rFonts w:ascii="Times New Roman" w:eastAsia="Times New Roman" w:hAnsi="Times New Roman" w:cs="Times New Roman"/>
          <w:color w:val="000000"/>
          <w:sz w:val="24"/>
          <w:szCs w:val="24"/>
        </w:rPr>
        <w:t>R</w:t>
      </w:r>
      <w:r w:rsidRPr="00114108">
        <w:rPr>
          <w:rFonts w:ascii="Times New Roman" w:eastAsia="Times New Roman" w:hAnsi="Times New Roman" w:cs="Times New Roman"/>
          <w:color w:val="000000"/>
          <w:sz w:val="24"/>
          <w:szCs w:val="24"/>
          <w:vertAlign w:val="subscript"/>
        </w:rPr>
        <w:t>m</w:t>
      </w:r>
      <w:proofErr w:type="spellEnd"/>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 xml:space="preserve">= </w:t>
      </w:r>
      <w:r w:rsidRPr="00114108">
        <w:rPr>
          <w:rFonts w:ascii="Times New Roman" w:eastAsia="Times New Roman" w:hAnsi="Times New Roman" w:cs="Times New Roman"/>
          <w:color w:val="000000"/>
          <w:sz w:val="24"/>
          <w:szCs w:val="24"/>
        </w:rPr>
        <w:t>2.38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w:t>
      </w:r>
      <w:r w:rsidRPr="00114108">
        <w:rPr>
          <w:rFonts w:ascii="Times New Roman" w:eastAsia="Times New Roman" w:hAnsi="Times New Roman" w:cs="Times New Roman"/>
          <w:color w:val="000000"/>
          <w:sz w:val="24"/>
          <w:szCs w:val="24"/>
        </w:rPr>
        <w:t>S&amp;P 500 Return from 1/2008-10/2012</w:t>
      </w:r>
      <w:r>
        <w:rPr>
          <w:rFonts w:ascii="Times New Roman" w:eastAsia="Times New Roman" w:hAnsi="Times New Roman" w:cs="Times New Roman"/>
          <w:color w:val="000000"/>
          <w:sz w:val="24"/>
          <w:szCs w:val="24"/>
        </w:rPr>
        <w:t>)</w:t>
      </w:r>
    </w:p>
    <w:p w:rsidR="00114108" w:rsidRPr="00114108" w:rsidRDefault="00114108" w:rsidP="00887296">
      <w:pPr>
        <w:pStyle w:val="ListParagraph"/>
        <w:numPr>
          <w:ilvl w:val="0"/>
          <w:numId w:val="1"/>
        </w:numPr>
        <w:spacing w:after="0" w:line="480" w:lineRule="auto"/>
        <w:jc w:val="both"/>
        <w:rPr>
          <w:rFonts w:ascii="Times New Roman" w:eastAsia="Times New Roman" w:hAnsi="Times New Roman" w:cs="Times New Roman"/>
          <w:color w:val="000000"/>
          <w:sz w:val="24"/>
          <w:szCs w:val="24"/>
        </w:rPr>
      </w:pPr>
      <w:r w:rsidRPr="00114108">
        <w:rPr>
          <w:rFonts w:ascii="Times New Roman" w:eastAsia="Times New Roman" w:hAnsi="Times New Roman" w:cs="Times New Roman"/>
          <w:b/>
          <w:color w:val="000000"/>
          <w:sz w:val="24"/>
          <w:szCs w:val="24"/>
        </w:rPr>
        <w:t>Cost of Debt</w:t>
      </w:r>
      <w:r w:rsidRPr="00114108">
        <w:rPr>
          <w:rFonts w:ascii="Times New Roman" w:eastAsia="Times New Roman" w:hAnsi="Times New Roman" w:cs="Times New Roman"/>
          <w:color w:val="000000"/>
          <w:sz w:val="24"/>
          <w:szCs w:val="24"/>
        </w:rPr>
        <w:t xml:space="preserve"> = 1.61% + 0.05</w:t>
      </w:r>
      <w:r>
        <w:rPr>
          <w:rFonts w:ascii="Times New Roman" w:eastAsia="Times New Roman" w:hAnsi="Times New Roman" w:cs="Times New Roman"/>
          <w:color w:val="000000"/>
          <w:sz w:val="24"/>
          <w:szCs w:val="24"/>
        </w:rPr>
        <w:t xml:space="preserve"> </w:t>
      </w:r>
      <w:r w:rsidRPr="00114108">
        <w:rPr>
          <w:rFonts w:ascii="Times New Roman" w:eastAsia="Times New Roman" w:hAnsi="Times New Roman" w:cs="Times New Roman"/>
          <w:color w:val="000000"/>
          <w:sz w:val="24"/>
          <w:szCs w:val="24"/>
        </w:rPr>
        <w:t>(2.38%)</w:t>
      </w:r>
      <w:r w:rsidRPr="00114108">
        <w:rPr>
          <w:rFonts w:ascii="Times New Roman" w:eastAsia="Times New Roman" w:hAnsi="Times New Roman" w:cs="Times New Roman"/>
          <w:color w:val="000000"/>
          <w:sz w:val="24"/>
          <w:szCs w:val="24"/>
        </w:rPr>
        <w:tab/>
      </w:r>
      <w:r w:rsidRPr="00114108">
        <w:rPr>
          <w:rFonts w:ascii="Times New Roman" w:eastAsia="Times New Roman" w:hAnsi="Times New Roman" w:cs="Times New Roman"/>
          <w:color w:val="000000"/>
          <w:sz w:val="24"/>
          <w:szCs w:val="24"/>
        </w:rPr>
        <w:tab/>
      </w:r>
    </w:p>
    <w:p w:rsidR="00F47E03" w:rsidRDefault="00114108" w:rsidP="00887296">
      <w:pPr>
        <w:pStyle w:val="ListParagraph"/>
        <w:numPr>
          <w:ilvl w:val="0"/>
          <w:numId w:val="1"/>
        </w:numPr>
        <w:spacing w:after="0" w:line="480" w:lineRule="auto"/>
        <w:rPr>
          <w:rStyle w:val="Heading1Char"/>
        </w:rPr>
      </w:pPr>
      <w:r w:rsidRPr="00114108">
        <w:rPr>
          <w:rFonts w:ascii="Times New Roman" w:eastAsia="Times New Roman" w:hAnsi="Times New Roman" w:cs="Times New Roman"/>
          <w:b/>
          <w:color w:val="000000"/>
          <w:sz w:val="24"/>
          <w:szCs w:val="24"/>
        </w:rPr>
        <w:t>Cost of Debt</w:t>
      </w:r>
      <w:r w:rsidRPr="00114108">
        <w:rPr>
          <w:rFonts w:ascii="Times New Roman" w:eastAsia="Times New Roman" w:hAnsi="Times New Roman" w:cs="Times New Roman"/>
          <w:color w:val="000000"/>
          <w:sz w:val="24"/>
          <w:szCs w:val="24"/>
        </w:rPr>
        <w:t xml:space="preserve"> = 1.73%</w:t>
      </w:r>
    </w:p>
    <w:p w:rsidR="00BD17FB" w:rsidRDefault="00F47E03" w:rsidP="00F47E03">
      <w:pPr>
        <w:rPr>
          <w:rStyle w:val="Heading1Char"/>
        </w:rPr>
      </w:pPr>
      <w:r>
        <w:rPr>
          <w:rStyle w:val="Heading1Char"/>
        </w:rPr>
        <w:br w:type="page"/>
      </w:r>
    </w:p>
    <w:p w:rsidR="00BD17FB" w:rsidRDefault="00BD17FB" w:rsidP="00BD17FB">
      <w:pPr>
        <w:rPr>
          <w:rStyle w:val="Heading1Char"/>
        </w:rPr>
      </w:pPr>
      <w:bookmarkStart w:id="37" w:name="_Toc342825348"/>
      <w:r>
        <w:rPr>
          <w:rStyle w:val="Heading1Char"/>
        </w:rPr>
        <w:lastRenderedPageBreak/>
        <w:t xml:space="preserve">APPENDIX </w:t>
      </w:r>
      <w:r>
        <w:rPr>
          <w:rStyle w:val="Heading1Char"/>
        </w:rPr>
        <w:t>6</w:t>
      </w:r>
      <w:r>
        <w:rPr>
          <w:rStyle w:val="Heading1Char"/>
        </w:rPr>
        <w:t xml:space="preserve"> – </w:t>
      </w:r>
      <w:r>
        <w:rPr>
          <w:rStyle w:val="Heading1Char"/>
        </w:rPr>
        <w:t>Discounted Free Cash</w:t>
      </w:r>
      <w:r w:rsidR="00980F5E">
        <w:rPr>
          <w:rStyle w:val="Heading1Char"/>
        </w:rPr>
        <w:t xml:space="preserve"> F</w:t>
      </w:r>
      <w:r>
        <w:rPr>
          <w:rStyle w:val="Heading1Char"/>
        </w:rPr>
        <w:t>low Model</w:t>
      </w:r>
      <w:bookmarkEnd w:id="37"/>
    </w:p>
    <w:p w:rsidR="00BD17FB" w:rsidRDefault="00980F5E" w:rsidP="00980F5E">
      <w:pPr>
        <w:ind w:hanging="720"/>
        <w:rPr>
          <w:rStyle w:val="Heading1Char"/>
        </w:rPr>
      </w:pPr>
      <w:r>
        <w:rPr>
          <w:rFonts w:asciiTheme="majorHAnsi" w:eastAsiaTheme="majorEastAsia" w:hAnsiTheme="majorHAnsi" w:cstheme="majorBidi"/>
          <w:b/>
          <w:bCs/>
          <w:noProof/>
          <w:color w:val="365F91" w:themeColor="accent1" w:themeShade="BF"/>
          <w:sz w:val="28"/>
          <w:szCs w:val="28"/>
        </w:rPr>
        <w:drawing>
          <wp:inline distT="0" distB="0" distL="0" distR="0">
            <wp:extent cx="6746970" cy="3331597"/>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46793" cy="3331509"/>
                    </a:xfrm>
                    <a:prstGeom prst="rect">
                      <a:avLst/>
                    </a:prstGeom>
                    <a:noFill/>
                    <a:ln>
                      <a:noFill/>
                    </a:ln>
                  </pic:spPr>
                </pic:pic>
              </a:graphicData>
            </a:graphic>
          </wp:inline>
        </w:drawing>
      </w:r>
    </w:p>
    <w:p w:rsidR="00F47E03" w:rsidRDefault="00BD17FB" w:rsidP="00F47E03">
      <w:pPr>
        <w:rPr>
          <w:rStyle w:val="Heading1Char"/>
        </w:rPr>
      </w:pPr>
      <w:bookmarkStart w:id="38" w:name="_Toc342825349"/>
      <w:r>
        <w:rPr>
          <w:rStyle w:val="Heading1Char"/>
        </w:rPr>
        <w:t>APPENDIX</w:t>
      </w:r>
      <w:r w:rsidR="003B19E5">
        <w:rPr>
          <w:rStyle w:val="Heading1Char"/>
        </w:rPr>
        <w:t xml:space="preserve"> 7</w:t>
      </w:r>
      <w:r>
        <w:rPr>
          <w:rStyle w:val="Heading1Char"/>
        </w:rPr>
        <w:t xml:space="preserve"> – Dividend Discount Model</w:t>
      </w:r>
      <w:bookmarkEnd w:id="38"/>
    </w:p>
    <w:p w:rsidR="003B19E5" w:rsidRDefault="003B19E5" w:rsidP="00F47E03">
      <w:pPr>
        <w:rPr>
          <w:rStyle w:val="Heading1Char"/>
        </w:rPr>
      </w:pPr>
      <w:r>
        <w:rPr>
          <w:rFonts w:asciiTheme="majorHAnsi" w:eastAsiaTheme="majorEastAsia" w:hAnsiTheme="majorHAnsi" w:cstheme="majorBidi"/>
          <w:b/>
          <w:bCs/>
          <w:noProof/>
          <w:color w:val="365F91" w:themeColor="accent1" w:themeShade="BF"/>
          <w:sz w:val="28"/>
          <w:szCs w:val="28"/>
        </w:rPr>
        <w:drawing>
          <wp:inline distT="0" distB="0" distL="0" distR="0">
            <wp:extent cx="5934075" cy="2600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2600325"/>
                    </a:xfrm>
                    <a:prstGeom prst="rect">
                      <a:avLst/>
                    </a:prstGeom>
                    <a:noFill/>
                    <a:ln>
                      <a:noFill/>
                    </a:ln>
                  </pic:spPr>
                </pic:pic>
              </a:graphicData>
            </a:graphic>
          </wp:inline>
        </w:drawing>
      </w:r>
    </w:p>
    <w:p w:rsidR="00263566" w:rsidRDefault="00263566">
      <w:pPr>
        <w:rPr>
          <w:rStyle w:val="Heading1Char"/>
        </w:rPr>
      </w:pPr>
      <w:bookmarkStart w:id="39" w:name="_REFERENCES:"/>
      <w:bookmarkEnd w:id="39"/>
      <w:r>
        <w:rPr>
          <w:rStyle w:val="Heading1Char"/>
          <w:b w:val="0"/>
          <w:bCs w:val="0"/>
        </w:rPr>
        <w:br w:type="page"/>
      </w:r>
    </w:p>
    <w:p w:rsidR="00FB6BF5" w:rsidRDefault="0015243A" w:rsidP="00FB6BF5">
      <w:pPr>
        <w:pStyle w:val="Heading1"/>
        <w:rPr>
          <w:rFonts w:ascii="Times New Roman" w:eastAsia="Times New Roman" w:hAnsi="Times New Roman" w:cs="Times New Roman"/>
          <w:color w:val="000000"/>
          <w:sz w:val="24"/>
          <w:szCs w:val="24"/>
        </w:rPr>
      </w:pPr>
      <w:bookmarkStart w:id="40" w:name="_Toc342825350"/>
      <w:r w:rsidRPr="00FB6BF5">
        <w:rPr>
          <w:rStyle w:val="Heading1Char"/>
          <w:b/>
          <w:bCs/>
        </w:rPr>
        <w:lastRenderedPageBreak/>
        <w:t>REFERENCES</w:t>
      </w:r>
      <w:bookmarkStart w:id="41" w:name="_GoBack"/>
      <w:bookmarkEnd w:id="40"/>
      <w:bookmarkEnd w:id="41"/>
      <w:r w:rsidRPr="0015243A">
        <w:rPr>
          <w:rFonts w:ascii="Times New Roman" w:eastAsia="Times New Roman" w:hAnsi="Times New Roman" w:cs="Times New Roman"/>
          <w:sz w:val="24"/>
          <w:szCs w:val="24"/>
        </w:rPr>
        <w:br/>
      </w:r>
    </w:p>
    <w:p w:rsidR="00FB6BF5" w:rsidRPr="005A6AE5" w:rsidRDefault="0015243A" w:rsidP="005A6AE5">
      <w:pPr>
        <w:pStyle w:val="Heading2"/>
        <w:rPr>
          <w:rFonts w:ascii="Times New Roman" w:eastAsia="Times New Roman" w:hAnsi="Times New Roman" w:cs="Times New Roman"/>
          <w:b w:val="0"/>
          <w:color w:val="1155CC"/>
          <w:sz w:val="24"/>
          <w:szCs w:val="24"/>
          <w:u w:val="single"/>
        </w:rPr>
      </w:pPr>
      <w:bookmarkStart w:id="42" w:name="_Toc342825351"/>
      <w:r w:rsidRPr="00FB6BF5">
        <w:rPr>
          <w:rStyle w:val="Heading2Char"/>
        </w:rPr>
        <w:t>1) Fluor Corporation Form 10-K FYE December 31, 2011.</w:t>
      </w:r>
      <w:r w:rsidRPr="0015243A">
        <w:rPr>
          <w:rFonts w:ascii="Times New Roman" w:eastAsia="Times New Roman" w:hAnsi="Times New Roman" w:cs="Times New Roman"/>
          <w:color w:val="000000"/>
          <w:sz w:val="24"/>
          <w:szCs w:val="24"/>
        </w:rPr>
        <w:t xml:space="preserve"> </w:t>
      </w:r>
      <w:r w:rsidRPr="005A6AE5">
        <w:rPr>
          <w:rFonts w:ascii="Times New Roman" w:eastAsia="Times New Roman" w:hAnsi="Times New Roman" w:cs="Times New Roman"/>
          <w:b w:val="0"/>
          <w:color w:val="000000"/>
          <w:sz w:val="24"/>
          <w:szCs w:val="24"/>
        </w:rPr>
        <w:t>SEC.gov</w:t>
      </w:r>
      <w:r w:rsidR="00FB6BF5" w:rsidRPr="005A6AE5">
        <w:rPr>
          <w:rFonts w:ascii="Times New Roman" w:eastAsia="Times New Roman" w:hAnsi="Times New Roman" w:cs="Times New Roman"/>
          <w:b w:val="0"/>
          <w:color w:val="000000"/>
          <w:sz w:val="24"/>
          <w:szCs w:val="24"/>
        </w:rPr>
        <w:t xml:space="preserve"> </w:t>
      </w:r>
      <w:hyperlink r:id="rId20" w:anchor="do72301_item_8._financial_statements_and_supplementary_data" w:history="1">
        <w:r w:rsidR="00FB6BF5" w:rsidRPr="005A6AE5">
          <w:rPr>
            <w:rStyle w:val="Hyperlink"/>
            <w:rFonts w:ascii="Times New Roman" w:eastAsia="Times New Roman" w:hAnsi="Times New Roman" w:cs="Times New Roman"/>
            <w:b w:val="0"/>
            <w:sz w:val="24"/>
            <w:szCs w:val="24"/>
          </w:rPr>
          <w:t>article</w:t>
        </w:r>
        <w:bookmarkEnd w:id="42"/>
      </w:hyperlink>
      <w:r w:rsidR="00FB6BF5" w:rsidRPr="005A6AE5">
        <w:rPr>
          <w:rFonts w:ascii="Times New Roman" w:eastAsia="Times New Roman" w:hAnsi="Times New Roman" w:cs="Times New Roman"/>
          <w:b w:val="0"/>
          <w:color w:val="1155CC"/>
          <w:sz w:val="24"/>
          <w:szCs w:val="24"/>
          <w:u w:val="single"/>
        </w:rPr>
        <w:t xml:space="preserve"> </w:t>
      </w:r>
    </w:p>
    <w:p w:rsidR="00FB6BF5" w:rsidRDefault="0015243A" w:rsidP="005A6AE5">
      <w:pPr>
        <w:pStyle w:val="Heading2"/>
        <w:rPr>
          <w:rFonts w:ascii="Times New Roman" w:eastAsia="Times New Roman" w:hAnsi="Times New Roman" w:cs="Times New Roman"/>
          <w:color w:val="1155CC"/>
          <w:sz w:val="24"/>
          <w:szCs w:val="24"/>
          <w:u w:val="single"/>
        </w:rPr>
      </w:pPr>
      <w:r w:rsidRPr="0015243A">
        <w:rPr>
          <w:rFonts w:ascii="Times New Roman" w:eastAsia="Times New Roman" w:hAnsi="Times New Roman" w:cs="Times New Roman"/>
          <w:sz w:val="24"/>
          <w:szCs w:val="24"/>
        </w:rPr>
        <w:br/>
      </w:r>
      <w:bookmarkStart w:id="43" w:name="_Toc342825352"/>
      <w:r w:rsidRPr="00FB6BF5">
        <w:rPr>
          <w:rStyle w:val="Heading2Char"/>
        </w:rPr>
        <w:t>2)  Jacob’s Engineering Group Inc. 10-K FYE September 30, 2011.</w:t>
      </w:r>
      <w:r w:rsidRPr="0015243A">
        <w:rPr>
          <w:rFonts w:ascii="Times New Roman" w:eastAsia="Times New Roman" w:hAnsi="Times New Roman" w:cs="Times New Roman"/>
          <w:color w:val="000000"/>
          <w:sz w:val="24"/>
          <w:szCs w:val="24"/>
        </w:rPr>
        <w:t xml:space="preserve"> </w:t>
      </w:r>
      <w:r w:rsidRPr="005A6AE5">
        <w:rPr>
          <w:rFonts w:ascii="Times New Roman" w:eastAsia="Times New Roman" w:hAnsi="Times New Roman" w:cs="Times New Roman"/>
          <w:b w:val="0"/>
          <w:color w:val="000000"/>
          <w:sz w:val="24"/>
          <w:szCs w:val="24"/>
        </w:rPr>
        <w:t>SEC.gov</w:t>
      </w:r>
      <w:r w:rsidR="00FB6BF5" w:rsidRPr="005A6AE5">
        <w:rPr>
          <w:rFonts w:ascii="Times New Roman" w:eastAsia="Times New Roman" w:hAnsi="Times New Roman" w:cs="Times New Roman"/>
          <w:b w:val="0"/>
          <w:color w:val="000000"/>
          <w:sz w:val="24"/>
          <w:szCs w:val="24"/>
        </w:rPr>
        <w:t xml:space="preserve"> </w:t>
      </w:r>
      <w:hyperlink r:id="rId21" w:anchor="tx219614_12" w:history="1">
        <w:r w:rsidR="00FB6BF5" w:rsidRPr="005A6AE5">
          <w:rPr>
            <w:rStyle w:val="Hyperlink"/>
            <w:rFonts w:ascii="Times New Roman" w:eastAsia="Times New Roman" w:hAnsi="Times New Roman" w:cs="Times New Roman"/>
            <w:b w:val="0"/>
            <w:sz w:val="24"/>
            <w:szCs w:val="24"/>
          </w:rPr>
          <w:t>article</w:t>
        </w:r>
      </w:hyperlink>
      <w:r w:rsidR="00FB6BF5" w:rsidRPr="005A6AE5">
        <w:rPr>
          <w:rFonts w:ascii="Times New Roman" w:eastAsia="Times New Roman" w:hAnsi="Times New Roman" w:cs="Times New Roman"/>
          <w:b w:val="0"/>
          <w:color w:val="000000"/>
          <w:sz w:val="24"/>
          <w:szCs w:val="24"/>
        </w:rPr>
        <w:t>.</w:t>
      </w:r>
      <w:bookmarkEnd w:id="43"/>
    </w:p>
    <w:p w:rsidR="00FB6BF5" w:rsidRDefault="0015243A" w:rsidP="005A6AE5">
      <w:pPr>
        <w:pStyle w:val="Heading2"/>
        <w:rPr>
          <w:rFonts w:ascii="Times New Roman" w:eastAsia="Times New Roman" w:hAnsi="Times New Roman" w:cs="Times New Roman"/>
          <w:sz w:val="24"/>
          <w:szCs w:val="24"/>
        </w:rPr>
      </w:pPr>
      <w:r w:rsidRPr="0015243A">
        <w:rPr>
          <w:rFonts w:ascii="Times New Roman" w:eastAsia="Times New Roman" w:hAnsi="Times New Roman" w:cs="Times New Roman"/>
          <w:sz w:val="24"/>
          <w:szCs w:val="24"/>
        </w:rPr>
        <w:br/>
      </w:r>
      <w:bookmarkStart w:id="44" w:name="_Toc342825353"/>
      <w:r w:rsidRPr="00FB6BF5">
        <w:rPr>
          <w:rStyle w:val="Heading2Char"/>
        </w:rPr>
        <w:t>3)  SAIC, Inc. 10-K FYE January 31, 2012.</w:t>
      </w:r>
      <w:r w:rsidRPr="0015243A">
        <w:rPr>
          <w:rFonts w:ascii="Times New Roman" w:eastAsia="Times New Roman" w:hAnsi="Times New Roman" w:cs="Times New Roman"/>
          <w:color w:val="000000"/>
          <w:sz w:val="24"/>
          <w:szCs w:val="24"/>
        </w:rPr>
        <w:t xml:space="preserve"> </w:t>
      </w:r>
      <w:r w:rsidRPr="005A6AE5">
        <w:rPr>
          <w:rFonts w:ascii="Times New Roman" w:eastAsia="Times New Roman" w:hAnsi="Times New Roman" w:cs="Times New Roman"/>
          <w:b w:val="0"/>
          <w:color w:val="000000"/>
          <w:sz w:val="24"/>
          <w:szCs w:val="24"/>
        </w:rPr>
        <w:t>SEC.gov</w:t>
      </w:r>
      <w:r w:rsidR="00FB6BF5" w:rsidRPr="005A6AE5">
        <w:rPr>
          <w:rFonts w:ascii="Times New Roman" w:eastAsia="Times New Roman" w:hAnsi="Times New Roman" w:cs="Times New Roman"/>
          <w:b w:val="0"/>
          <w:color w:val="000000"/>
          <w:sz w:val="24"/>
          <w:szCs w:val="24"/>
        </w:rPr>
        <w:t xml:space="preserve"> </w:t>
      </w:r>
      <w:hyperlink r:id="rId22" w:history="1">
        <w:r w:rsidR="00FB6BF5" w:rsidRPr="005A6AE5">
          <w:rPr>
            <w:rStyle w:val="Hyperlink"/>
            <w:rFonts w:ascii="Times New Roman" w:eastAsia="Times New Roman" w:hAnsi="Times New Roman" w:cs="Times New Roman"/>
            <w:b w:val="0"/>
            <w:sz w:val="24"/>
            <w:szCs w:val="24"/>
          </w:rPr>
          <w:t>article</w:t>
        </w:r>
      </w:hyperlink>
      <w:r w:rsidRPr="005A6AE5">
        <w:rPr>
          <w:rFonts w:ascii="Times New Roman" w:eastAsia="Times New Roman" w:hAnsi="Times New Roman" w:cs="Times New Roman"/>
          <w:b w:val="0"/>
          <w:color w:val="000000"/>
          <w:sz w:val="24"/>
          <w:szCs w:val="24"/>
        </w:rPr>
        <w:t>.</w:t>
      </w:r>
      <w:bookmarkEnd w:id="44"/>
      <w:r w:rsidR="00FB6BF5" w:rsidRPr="0015243A">
        <w:rPr>
          <w:rFonts w:ascii="Times New Roman" w:eastAsia="Times New Roman" w:hAnsi="Times New Roman" w:cs="Times New Roman"/>
          <w:sz w:val="24"/>
          <w:szCs w:val="24"/>
        </w:rPr>
        <w:t xml:space="preserve"> </w:t>
      </w:r>
    </w:p>
    <w:p w:rsidR="00887296" w:rsidRDefault="0015243A" w:rsidP="005A6AE5">
      <w:pPr>
        <w:pStyle w:val="Heading2"/>
      </w:pPr>
      <w:r w:rsidRPr="0015243A">
        <w:rPr>
          <w:rFonts w:ascii="Times New Roman" w:eastAsia="Times New Roman" w:hAnsi="Times New Roman" w:cs="Times New Roman"/>
          <w:sz w:val="24"/>
          <w:szCs w:val="24"/>
        </w:rPr>
        <w:br/>
      </w:r>
      <w:bookmarkStart w:id="45" w:name="_Toc342825354"/>
      <w:r w:rsidRPr="005A6AE5">
        <w:rPr>
          <w:rStyle w:val="Heading2Char"/>
        </w:rPr>
        <w:t>4) Wotapka, Dawn.</w:t>
      </w:r>
      <w:r w:rsidRPr="0015243A">
        <w:rPr>
          <w:rFonts w:ascii="Times New Roman" w:eastAsia="Times New Roman" w:hAnsi="Times New Roman" w:cs="Times New Roman"/>
          <w:color w:val="000000"/>
          <w:sz w:val="24"/>
          <w:szCs w:val="24"/>
        </w:rPr>
        <w:t xml:space="preserve"> </w:t>
      </w:r>
      <w:r w:rsidRPr="005A6AE5">
        <w:rPr>
          <w:rFonts w:ascii="Times New Roman" w:eastAsia="Times New Roman" w:hAnsi="Times New Roman" w:cs="Times New Roman"/>
          <w:b w:val="0"/>
          <w:bCs w:val="0"/>
          <w:i/>
          <w:iCs/>
          <w:color w:val="000000"/>
          <w:sz w:val="24"/>
          <w:szCs w:val="24"/>
        </w:rPr>
        <w:t>Construction</w:t>
      </w:r>
      <w:r w:rsidRPr="005A6AE5">
        <w:rPr>
          <w:rFonts w:ascii="Times New Roman" w:eastAsia="Times New Roman" w:hAnsi="Times New Roman" w:cs="Times New Roman"/>
          <w:b w:val="0"/>
          <w:i/>
          <w:iCs/>
          <w:color w:val="000000"/>
          <w:sz w:val="24"/>
          <w:szCs w:val="24"/>
        </w:rPr>
        <w:t xml:space="preserve"> Industry Forecast to Rebound in 2010.</w:t>
      </w:r>
      <w:r w:rsidRPr="005A6AE5">
        <w:rPr>
          <w:rFonts w:ascii="Times New Roman" w:eastAsia="Times New Roman" w:hAnsi="Times New Roman" w:cs="Times New Roman"/>
          <w:b w:val="0"/>
          <w:color w:val="000000"/>
          <w:sz w:val="24"/>
          <w:szCs w:val="24"/>
        </w:rPr>
        <w:t xml:space="preserve"> Wall Street Journal. October 16, 2009.</w:t>
      </w:r>
      <w:r w:rsidRPr="0015243A">
        <w:rPr>
          <w:rFonts w:ascii="Times New Roman" w:eastAsia="Times New Roman" w:hAnsi="Times New Roman" w:cs="Times New Roman"/>
          <w:color w:val="000000"/>
          <w:sz w:val="24"/>
          <w:szCs w:val="24"/>
        </w:rPr>
        <w:t xml:space="preserve"> </w:t>
      </w:r>
      <w:hyperlink r:id="rId23" w:history="1">
        <w:r w:rsidR="00FB6BF5" w:rsidRPr="005A6AE5">
          <w:rPr>
            <w:rStyle w:val="Hyperlink"/>
            <w:rFonts w:ascii="Times New Roman" w:eastAsia="Times New Roman" w:hAnsi="Times New Roman" w:cs="Times New Roman"/>
            <w:b w:val="0"/>
            <w:sz w:val="24"/>
            <w:szCs w:val="24"/>
          </w:rPr>
          <w:t>Online Article</w:t>
        </w:r>
      </w:hyperlink>
      <w:r w:rsidR="00FB6BF5" w:rsidRPr="005A6AE5">
        <w:rPr>
          <w:rFonts w:ascii="Times New Roman" w:eastAsia="Times New Roman" w:hAnsi="Times New Roman" w:cs="Times New Roman"/>
          <w:b w:val="0"/>
          <w:color w:val="000000"/>
          <w:sz w:val="24"/>
          <w:szCs w:val="24"/>
        </w:rPr>
        <w:t>.</w:t>
      </w:r>
      <w:bookmarkEnd w:id="45"/>
      <w:r w:rsidRPr="0015243A">
        <w:rPr>
          <w:rFonts w:ascii="Times New Roman" w:eastAsia="Times New Roman" w:hAnsi="Times New Roman" w:cs="Times New Roman"/>
          <w:sz w:val="24"/>
          <w:szCs w:val="24"/>
        </w:rPr>
        <w:br/>
      </w:r>
    </w:p>
    <w:sectPr w:rsidR="00887296" w:rsidSect="00980F5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81B"/>
    <w:multiLevelType w:val="hybridMultilevel"/>
    <w:tmpl w:val="2420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D82869"/>
    <w:multiLevelType w:val="hybridMultilevel"/>
    <w:tmpl w:val="08B0A1E0"/>
    <w:lvl w:ilvl="0" w:tplc="889AF0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3A"/>
    <w:rsid w:val="000579E5"/>
    <w:rsid w:val="00092D49"/>
    <w:rsid w:val="00114108"/>
    <w:rsid w:val="0012376A"/>
    <w:rsid w:val="00136768"/>
    <w:rsid w:val="00146264"/>
    <w:rsid w:val="0015243A"/>
    <w:rsid w:val="002049A5"/>
    <w:rsid w:val="0021137D"/>
    <w:rsid w:val="00263566"/>
    <w:rsid w:val="002C41CE"/>
    <w:rsid w:val="00302558"/>
    <w:rsid w:val="003311A9"/>
    <w:rsid w:val="00365BA8"/>
    <w:rsid w:val="003B19E5"/>
    <w:rsid w:val="00431BE1"/>
    <w:rsid w:val="00491A11"/>
    <w:rsid w:val="004B0FFD"/>
    <w:rsid w:val="005412ED"/>
    <w:rsid w:val="0055324D"/>
    <w:rsid w:val="005A6AE5"/>
    <w:rsid w:val="006E7BB5"/>
    <w:rsid w:val="007111A0"/>
    <w:rsid w:val="007147BB"/>
    <w:rsid w:val="00887296"/>
    <w:rsid w:val="00951337"/>
    <w:rsid w:val="009704E0"/>
    <w:rsid w:val="00980F5E"/>
    <w:rsid w:val="00991077"/>
    <w:rsid w:val="009D1F3D"/>
    <w:rsid w:val="00A62D34"/>
    <w:rsid w:val="00A62D82"/>
    <w:rsid w:val="00AE1400"/>
    <w:rsid w:val="00B95147"/>
    <w:rsid w:val="00BD17FB"/>
    <w:rsid w:val="00BF1D28"/>
    <w:rsid w:val="00BF4C75"/>
    <w:rsid w:val="00C848F8"/>
    <w:rsid w:val="00CA5F97"/>
    <w:rsid w:val="00CB3046"/>
    <w:rsid w:val="00D0590D"/>
    <w:rsid w:val="00D56D4B"/>
    <w:rsid w:val="00D60FE6"/>
    <w:rsid w:val="00EA1BD7"/>
    <w:rsid w:val="00F47E03"/>
    <w:rsid w:val="00FB6BF5"/>
    <w:rsid w:val="00FF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4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243A"/>
    <w:rPr>
      <w:color w:val="0000FF"/>
      <w:u w:val="single"/>
    </w:rPr>
  </w:style>
  <w:style w:type="character" w:customStyle="1" w:styleId="Heading1Char">
    <w:name w:val="Heading 1 Char"/>
    <w:basedOn w:val="DefaultParagraphFont"/>
    <w:link w:val="Heading1"/>
    <w:uiPriority w:val="9"/>
    <w:rsid w:val="001524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43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5243A"/>
    <w:pPr>
      <w:outlineLvl w:val="9"/>
    </w:pPr>
    <w:rPr>
      <w:lang w:eastAsia="ja-JP"/>
    </w:rPr>
  </w:style>
  <w:style w:type="paragraph" w:styleId="TOC1">
    <w:name w:val="toc 1"/>
    <w:basedOn w:val="Normal"/>
    <w:next w:val="Normal"/>
    <w:autoRedefine/>
    <w:uiPriority w:val="39"/>
    <w:unhideWhenUsed/>
    <w:rsid w:val="0015243A"/>
    <w:pPr>
      <w:spacing w:after="100"/>
    </w:pPr>
  </w:style>
  <w:style w:type="paragraph" w:styleId="BalloonText">
    <w:name w:val="Balloon Text"/>
    <w:basedOn w:val="Normal"/>
    <w:link w:val="BalloonTextChar"/>
    <w:uiPriority w:val="99"/>
    <w:semiHidden/>
    <w:unhideWhenUsed/>
    <w:rsid w:val="0015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3A"/>
    <w:rPr>
      <w:rFonts w:ascii="Tahoma" w:hAnsi="Tahoma" w:cs="Tahoma"/>
      <w:sz w:val="16"/>
      <w:szCs w:val="16"/>
    </w:rPr>
  </w:style>
  <w:style w:type="character" w:customStyle="1" w:styleId="Heading3Char">
    <w:name w:val="Heading 3 Char"/>
    <w:basedOn w:val="DefaultParagraphFont"/>
    <w:link w:val="Heading3"/>
    <w:uiPriority w:val="9"/>
    <w:rsid w:val="0015243A"/>
    <w:rPr>
      <w:rFonts w:asciiTheme="majorHAnsi" w:eastAsiaTheme="majorEastAsia" w:hAnsiTheme="majorHAnsi" w:cstheme="majorBidi"/>
      <w:b/>
      <w:bCs/>
      <w:color w:val="4F81BD" w:themeColor="accent1"/>
    </w:rPr>
  </w:style>
  <w:style w:type="table" w:styleId="TableGrid">
    <w:name w:val="Table Grid"/>
    <w:basedOn w:val="TableNormal"/>
    <w:uiPriority w:val="59"/>
    <w:rsid w:val="00CA5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046"/>
    <w:pPr>
      <w:ind w:left="720"/>
      <w:contextualSpacing/>
    </w:pPr>
  </w:style>
  <w:style w:type="paragraph" w:styleId="TOC2">
    <w:name w:val="toc 2"/>
    <w:basedOn w:val="Normal"/>
    <w:next w:val="Normal"/>
    <w:autoRedefine/>
    <w:uiPriority w:val="39"/>
    <w:unhideWhenUsed/>
    <w:rsid w:val="00F47E03"/>
    <w:pPr>
      <w:spacing w:after="100"/>
      <w:ind w:left="220"/>
    </w:pPr>
  </w:style>
  <w:style w:type="paragraph" w:styleId="TOC3">
    <w:name w:val="toc 3"/>
    <w:basedOn w:val="Normal"/>
    <w:next w:val="Normal"/>
    <w:autoRedefine/>
    <w:uiPriority w:val="39"/>
    <w:unhideWhenUsed/>
    <w:rsid w:val="00F47E0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4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243A"/>
    <w:rPr>
      <w:color w:val="0000FF"/>
      <w:u w:val="single"/>
    </w:rPr>
  </w:style>
  <w:style w:type="character" w:customStyle="1" w:styleId="Heading1Char">
    <w:name w:val="Heading 1 Char"/>
    <w:basedOn w:val="DefaultParagraphFont"/>
    <w:link w:val="Heading1"/>
    <w:uiPriority w:val="9"/>
    <w:rsid w:val="001524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43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5243A"/>
    <w:pPr>
      <w:outlineLvl w:val="9"/>
    </w:pPr>
    <w:rPr>
      <w:lang w:eastAsia="ja-JP"/>
    </w:rPr>
  </w:style>
  <w:style w:type="paragraph" w:styleId="TOC1">
    <w:name w:val="toc 1"/>
    <w:basedOn w:val="Normal"/>
    <w:next w:val="Normal"/>
    <w:autoRedefine/>
    <w:uiPriority w:val="39"/>
    <w:unhideWhenUsed/>
    <w:rsid w:val="0015243A"/>
    <w:pPr>
      <w:spacing w:after="100"/>
    </w:pPr>
  </w:style>
  <w:style w:type="paragraph" w:styleId="BalloonText">
    <w:name w:val="Balloon Text"/>
    <w:basedOn w:val="Normal"/>
    <w:link w:val="BalloonTextChar"/>
    <w:uiPriority w:val="99"/>
    <w:semiHidden/>
    <w:unhideWhenUsed/>
    <w:rsid w:val="0015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3A"/>
    <w:rPr>
      <w:rFonts w:ascii="Tahoma" w:hAnsi="Tahoma" w:cs="Tahoma"/>
      <w:sz w:val="16"/>
      <w:szCs w:val="16"/>
    </w:rPr>
  </w:style>
  <w:style w:type="character" w:customStyle="1" w:styleId="Heading3Char">
    <w:name w:val="Heading 3 Char"/>
    <w:basedOn w:val="DefaultParagraphFont"/>
    <w:link w:val="Heading3"/>
    <w:uiPriority w:val="9"/>
    <w:rsid w:val="0015243A"/>
    <w:rPr>
      <w:rFonts w:asciiTheme="majorHAnsi" w:eastAsiaTheme="majorEastAsia" w:hAnsiTheme="majorHAnsi" w:cstheme="majorBidi"/>
      <w:b/>
      <w:bCs/>
      <w:color w:val="4F81BD" w:themeColor="accent1"/>
    </w:rPr>
  </w:style>
  <w:style w:type="table" w:styleId="TableGrid">
    <w:name w:val="Table Grid"/>
    <w:basedOn w:val="TableNormal"/>
    <w:uiPriority w:val="59"/>
    <w:rsid w:val="00CA5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046"/>
    <w:pPr>
      <w:ind w:left="720"/>
      <w:contextualSpacing/>
    </w:pPr>
  </w:style>
  <w:style w:type="paragraph" w:styleId="TOC2">
    <w:name w:val="toc 2"/>
    <w:basedOn w:val="Normal"/>
    <w:next w:val="Normal"/>
    <w:autoRedefine/>
    <w:uiPriority w:val="39"/>
    <w:unhideWhenUsed/>
    <w:rsid w:val="00F47E03"/>
    <w:pPr>
      <w:spacing w:after="100"/>
      <w:ind w:left="220"/>
    </w:pPr>
  </w:style>
  <w:style w:type="paragraph" w:styleId="TOC3">
    <w:name w:val="toc 3"/>
    <w:basedOn w:val="Normal"/>
    <w:next w:val="Normal"/>
    <w:autoRedefine/>
    <w:uiPriority w:val="39"/>
    <w:unhideWhenUsed/>
    <w:rsid w:val="00F47E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1953">
      <w:bodyDiv w:val="1"/>
      <w:marLeft w:val="0"/>
      <w:marRight w:val="0"/>
      <w:marTop w:val="0"/>
      <w:marBottom w:val="0"/>
      <w:divBdr>
        <w:top w:val="none" w:sz="0" w:space="0" w:color="auto"/>
        <w:left w:val="none" w:sz="0" w:space="0" w:color="auto"/>
        <w:bottom w:val="none" w:sz="0" w:space="0" w:color="auto"/>
        <w:right w:val="none" w:sz="0" w:space="0" w:color="auto"/>
      </w:divBdr>
      <w:divsChild>
        <w:div w:id="1157648020">
          <w:marLeft w:val="0"/>
          <w:marRight w:val="0"/>
          <w:marTop w:val="0"/>
          <w:marBottom w:val="0"/>
          <w:divBdr>
            <w:top w:val="none" w:sz="0" w:space="0" w:color="auto"/>
            <w:left w:val="none" w:sz="0" w:space="0" w:color="auto"/>
            <w:bottom w:val="none" w:sz="0" w:space="0" w:color="auto"/>
            <w:right w:val="none" w:sz="0" w:space="0" w:color="auto"/>
          </w:divBdr>
        </w:div>
      </w:divsChild>
    </w:div>
    <w:div w:id="652880071">
      <w:bodyDiv w:val="1"/>
      <w:marLeft w:val="0"/>
      <w:marRight w:val="0"/>
      <w:marTop w:val="0"/>
      <w:marBottom w:val="0"/>
      <w:divBdr>
        <w:top w:val="none" w:sz="0" w:space="0" w:color="auto"/>
        <w:left w:val="none" w:sz="0" w:space="0" w:color="auto"/>
        <w:bottom w:val="none" w:sz="0" w:space="0" w:color="auto"/>
        <w:right w:val="none" w:sz="0" w:space="0" w:color="auto"/>
      </w:divBdr>
    </w:div>
    <w:div w:id="1226065503">
      <w:bodyDiv w:val="1"/>
      <w:marLeft w:val="0"/>
      <w:marRight w:val="0"/>
      <w:marTop w:val="0"/>
      <w:marBottom w:val="0"/>
      <w:divBdr>
        <w:top w:val="none" w:sz="0" w:space="0" w:color="auto"/>
        <w:left w:val="none" w:sz="0" w:space="0" w:color="auto"/>
        <w:bottom w:val="none" w:sz="0" w:space="0" w:color="auto"/>
        <w:right w:val="none" w:sz="0" w:space="0" w:color="auto"/>
      </w:divBdr>
    </w:div>
    <w:div w:id="17442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sec.gov/Archives/edgar/data/52988/000119312511318681/d219614d10k.htm" TargetMode="Externa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sec.gov/Archives/edgar/data/1124198/000104746912001294/a2207387z10-k.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8.xml"/><Relationship Id="rId23" Type="http://schemas.openxmlformats.org/officeDocument/2006/relationships/hyperlink" Target="http://online.wsj.com/article/SB125566328030089425.html" TargetMode="External"/><Relationship Id="rId10" Type="http://schemas.openxmlformats.org/officeDocument/2006/relationships/chart" Target="charts/chart3.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sec.gov/Archives/edgar/data/353394/000119312512133697/d272046d10k.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zapata\Documents\MBA\courses\FIN%20517\Group%20Project\Research\Ratios-FLR-SAIC-JE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ROA%</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Charts'!$B$4:$F$4</c:f>
              <c:numCache>
                <c:formatCode>General</c:formatCode>
                <c:ptCount val="5"/>
                <c:pt idx="0">
                  <c:v>10</c:v>
                </c:pt>
                <c:pt idx="1">
                  <c:v>11.76</c:v>
                </c:pt>
                <c:pt idx="2">
                  <c:v>10.07</c:v>
                </c:pt>
                <c:pt idx="3">
                  <c:v>4.83</c:v>
                </c:pt>
                <c:pt idx="4">
                  <c:v>7.48</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Charts'!$G$4:$K$4</c:f>
              <c:numCache>
                <c:formatCode>General</c:formatCode>
                <c:ptCount val="5"/>
                <c:pt idx="0">
                  <c:v>8.6999999999999993</c:v>
                </c:pt>
                <c:pt idx="1">
                  <c:v>8.99</c:v>
                </c:pt>
                <c:pt idx="2">
                  <c:v>9.61</c:v>
                </c:pt>
                <c:pt idx="3">
                  <c:v>10.73</c:v>
                </c:pt>
                <c:pt idx="4">
                  <c:v>0.92</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Charts'!$L$4:$P$4</c:f>
              <c:numCache>
                <c:formatCode>General</c:formatCode>
                <c:ptCount val="5"/>
                <c:pt idx="0">
                  <c:v>9.1999999999999993</c:v>
                </c:pt>
                <c:pt idx="1">
                  <c:v>10.94</c:v>
                </c:pt>
                <c:pt idx="2">
                  <c:v>9.1300000000000008</c:v>
                </c:pt>
                <c:pt idx="3">
                  <c:v>5.41</c:v>
                </c:pt>
                <c:pt idx="4">
                  <c:v>6.19</c:v>
                </c:pt>
              </c:numCache>
            </c:numRef>
          </c:val>
          <c:smooth val="0"/>
        </c:ser>
        <c:dLbls>
          <c:showLegendKey val="0"/>
          <c:showVal val="0"/>
          <c:showCatName val="0"/>
          <c:showSerName val="0"/>
          <c:showPercent val="0"/>
          <c:showBubbleSize val="0"/>
        </c:dLbls>
        <c:marker val="1"/>
        <c:smooth val="0"/>
        <c:axId val="116035968"/>
        <c:axId val="116037504"/>
      </c:lineChart>
      <c:catAx>
        <c:axId val="116035968"/>
        <c:scaling>
          <c:orientation val="minMax"/>
        </c:scaling>
        <c:delete val="0"/>
        <c:axPos val="b"/>
        <c:numFmt formatCode="General" sourceLinked="1"/>
        <c:majorTickMark val="out"/>
        <c:minorTickMark val="none"/>
        <c:tickLblPos val="nextTo"/>
        <c:crossAx val="116037504"/>
        <c:crosses val="autoZero"/>
        <c:auto val="1"/>
        <c:lblAlgn val="ctr"/>
        <c:lblOffset val="100"/>
        <c:noMultiLvlLbl val="0"/>
      </c:catAx>
      <c:valAx>
        <c:axId val="116037504"/>
        <c:scaling>
          <c:orientation val="minMax"/>
        </c:scaling>
        <c:delete val="0"/>
        <c:axPos val="l"/>
        <c:majorGridlines/>
        <c:numFmt formatCode="General" sourceLinked="1"/>
        <c:majorTickMark val="out"/>
        <c:minorTickMark val="none"/>
        <c:tickLblPos val="nextTo"/>
        <c:crossAx val="116035968"/>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Cash Flow per Share</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Charts'!$B$31:$F$31</c:f>
              <c:numCache>
                <c:formatCode>General</c:formatCode>
                <c:ptCount val="5"/>
                <c:pt idx="0">
                  <c:v>5.19</c:v>
                </c:pt>
                <c:pt idx="1">
                  <c:v>5.34</c:v>
                </c:pt>
                <c:pt idx="2">
                  <c:v>5.0199999999999996</c:v>
                </c:pt>
                <c:pt idx="3">
                  <c:v>3.09</c:v>
                </c:pt>
                <c:pt idx="4">
                  <c:v>5.16</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Charts'!$G$31:$K$31</c:f>
              <c:numCache>
                <c:formatCode>General</c:formatCode>
                <c:ptCount val="5"/>
                <c:pt idx="0">
                  <c:v>0.85</c:v>
                </c:pt>
                <c:pt idx="1">
                  <c:v>1.47</c:v>
                </c:pt>
                <c:pt idx="2">
                  <c:v>1.61</c:v>
                </c:pt>
                <c:pt idx="3">
                  <c:v>2.02</c:v>
                </c:pt>
                <c:pt idx="4">
                  <c:v>2.2999999999999998</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Charts'!$L$31:$P$31</c:f>
              <c:numCache>
                <c:formatCode>General</c:formatCode>
                <c:ptCount val="5"/>
                <c:pt idx="0">
                  <c:v>3.04</c:v>
                </c:pt>
                <c:pt idx="1">
                  <c:v>2.58</c:v>
                </c:pt>
                <c:pt idx="2">
                  <c:v>4.32</c:v>
                </c:pt>
                <c:pt idx="3">
                  <c:v>1.59</c:v>
                </c:pt>
                <c:pt idx="4">
                  <c:v>1.89</c:v>
                </c:pt>
              </c:numCache>
            </c:numRef>
          </c:val>
          <c:smooth val="0"/>
        </c:ser>
        <c:dLbls>
          <c:showLegendKey val="0"/>
          <c:showVal val="0"/>
          <c:showCatName val="0"/>
          <c:showSerName val="0"/>
          <c:showPercent val="0"/>
          <c:showBubbleSize val="0"/>
        </c:dLbls>
        <c:marker val="1"/>
        <c:smooth val="0"/>
        <c:axId val="120777344"/>
        <c:axId val="120975744"/>
      </c:lineChart>
      <c:catAx>
        <c:axId val="120777344"/>
        <c:scaling>
          <c:orientation val="minMax"/>
        </c:scaling>
        <c:delete val="0"/>
        <c:axPos val="b"/>
        <c:numFmt formatCode="General" sourceLinked="1"/>
        <c:majorTickMark val="out"/>
        <c:minorTickMark val="none"/>
        <c:tickLblPos val="nextTo"/>
        <c:crossAx val="120975744"/>
        <c:crosses val="autoZero"/>
        <c:auto val="1"/>
        <c:lblAlgn val="ctr"/>
        <c:lblOffset val="100"/>
        <c:noMultiLvlLbl val="0"/>
      </c:catAx>
      <c:valAx>
        <c:axId val="120975744"/>
        <c:scaling>
          <c:orientation val="minMax"/>
        </c:scaling>
        <c:delete val="0"/>
        <c:axPos val="l"/>
        <c:majorGridlines/>
        <c:numFmt formatCode="General" sourceLinked="1"/>
        <c:majorTickMark val="out"/>
        <c:minorTickMark val="none"/>
        <c:tickLblPos val="nextTo"/>
        <c:crossAx val="120777344"/>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ROE%</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Charts'!$B$5:$F$5</c:f>
              <c:numCache>
                <c:formatCode>General</c:formatCode>
                <c:ptCount val="5"/>
                <c:pt idx="0">
                  <c:v>26.63</c:v>
                </c:pt>
                <c:pt idx="1">
                  <c:v>29.06</c:v>
                </c:pt>
                <c:pt idx="2">
                  <c:v>22.92</c:v>
                </c:pt>
                <c:pt idx="3">
                  <c:v>10.51</c:v>
                </c:pt>
                <c:pt idx="4">
                  <c:v>17.23</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Charts'!$G$5:$K$5</c:f>
              <c:numCache>
                <c:formatCode>General</c:formatCode>
                <c:ptCount val="5"/>
                <c:pt idx="0">
                  <c:v>24.15</c:v>
                </c:pt>
                <c:pt idx="1">
                  <c:v>22.62</c:v>
                </c:pt>
                <c:pt idx="2">
                  <c:v>22.72</c:v>
                </c:pt>
                <c:pt idx="3">
                  <c:v>25.85</c:v>
                </c:pt>
                <c:pt idx="4">
                  <c:v>2.5299999999999998</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Charts'!$L$5:$P$5</c:f>
              <c:numCache>
                <c:formatCode>General</c:formatCode>
                <c:ptCount val="5"/>
                <c:pt idx="0">
                  <c:v>17.579999999999998</c:v>
                </c:pt>
                <c:pt idx="1">
                  <c:v>20.52</c:v>
                </c:pt>
                <c:pt idx="2">
                  <c:v>16.329999999999998</c:v>
                </c:pt>
                <c:pt idx="3">
                  <c:v>8.99</c:v>
                </c:pt>
                <c:pt idx="4">
                  <c:v>10.76</c:v>
                </c:pt>
              </c:numCache>
            </c:numRef>
          </c:val>
          <c:smooth val="0"/>
        </c:ser>
        <c:dLbls>
          <c:showLegendKey val="0"/>
          <c:showVal val="0"/>
          <c:showCatName val="0"/>
          <c:showSerName val="0"/>
          <c:showPercent val="0"/>
          <c:showBubbleSize val="0"/>
        </c:dLbls>
        <c:marker val="1"/>
        <c:smooth val="0"/>
        <c:axId val="117002624"/>
        <c:axId val="117004160"/>
      </c:lineChart>
      <c:catAx>
        <c:axId val="117002624"/>
        <c:scaling>
          <c:orientation val="minMax"/>
        </c:scaling>
        <c:delete val="0"/>
        <c:axPos val="b"/>
        <c:numFmt formatCode="General" sourceLinked="1"/>
        <c:majorTickMark val="out"/>
        <c:minorTickMark val="none"/>
        <c:tickLblPos val="nextTo"/>
        <c:crossAx val="117004160"/>
        <c:crosses val="autoZero"/>
        <c:auto val="1"/>
        <c:lblAlgn val="ctr"/>
        <c:lblOffset val="100"/>
        <c:noMultiLvlLbl val="0"/>
      </c:catAx>
      <c:valAx>
        <c:axId val="117004160"/>
        <c:scaling>
          <c:orientation val="minMax"/>
        </c:scaling>
        <c:delete val="0"/>
        <c:axPos val="l"/>
        <c:majorGridlines/>
        <c:numFmt formatCode="General" sourceLinked="1"/>
        <c:majorTickMark val="out"/>
        <c:minorTickMark val="none"/>
        <c:tickLblPos val="nextTo"/>
        <c:crossAx val="117002624"/>
        <c:crosses val="autoZero"/>
        <c:crossBetween val="between"/>
      </c:valAx>
    </c:plotArea>
    <c:legend>
      <c:legendPos val="b"/>
      <c:overlay val="0"/>
    </c:legend>
    <c:plotVisOnly val="1"/>
    <c:dispBlanksAs val="gap"/>
    <c:showDLblsOverMax val="0"/>
  </c:chart>
  <c:spPr>
    <a:ln>
      <a:noFill/>
    </a:ln>
    <a:effectLst>
      <a:outerShdw blurRad="88900" dist="38100" dir="5400000" algn="t" rotWithShape="0">
        <a:prstClr val="black">
          <a:alpha val="5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ROI%</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Charts'!$B$6:$F$6</c:f>
              <c:numCache>
                <c:formatCode>General</c:formatCode>
                <c:ptCount val="5"/>
                <c:pt idx="0">
                  <c:v>24.89</c:v>
                </c:pt>
                <c:pt idx="1">
                  <c:v>36.07</c:v>
                </c:pt>
                <c:pt idx="2">
                  <c:v>35.89</c:v>
                </c:pt>
                <c:pt idx="3">
                  <c:v>15.59</c:v>
                </c:pt>
                <c:pt idx="4">
                  <c:v>26.14</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Charts'!$G$6:$K$6</c:f>
              <c:numCache>
                <c:formatCode>General</c:formatCode>
                <c:ptCount val="5"/>
                <c:pt idx="0">
                  <c:v>22.6</c:v>
                </c:pt>
                <c:pt idx="1">
                  <c:v>24.46</c:v>
                </c:pt>
                <c:pt idx="2">
                  <c:v>26.28</c:v>
                </c:pt>
                <c:pt idx="3">
                  <c:v>24.75</c:v>
                </c:pt>
                <c:pt idx="4">
                  <c:v>7.43</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Charts'!$L$6:$P$6</c:f>
              <c:numCache>
                <c:formatCode>General</c:formatCode>
                <c:ptCount val="5"/>
                <c:pt idx="0">
                  <c:v>26</c:v>
                </c:pt>
                <c:pt idx="1">
                  <c:v>30.64</c:v>
                </c:pt>
                <c:pt idx="2">
                  <c:v>24.96</c:v>
                </c:pt>
                <c:pt idx="3">
                  <c:v>14.37</c:v>
                </c:pt>
                <c:pt idx="4">
                  <c:v>15.26</c:v>
                </c:pt>
              </c:numCache>
            </c:numRef>
          </c:val>
          <c:smooth val="0"/>
        </c:ser>
        <c:dLbls>
          <c:showLegendKey val="0"/>
          <c:showVal val="0"/>
          <c:showCatName val="0"/>
          <c:showSerName val="0"/>
          <c:showPercent val="0"/>
          <c:showBubbleSize val="0"/>
        </c:dLbls>
        <c:marker val="1"/>
        <c:smooth val="0"/>
        <c:axId val="119169408"/>
        <c:axId val="119170944"/>
      </c:lineChart>
      <c:catAx>
        <c:axId val="119169408"/>
        <c:scaling>
          <c:orientation val="minMax"/>
        </c:scaling>
        <c:delete val="0"/>
        <c:axPos val="b"/>
        <c:numFmt formatCode="General" sourceLinked="1"/>
        <c:majorTickMark val="out"/>
        <c:minorTickMark val="none"/>
        <c:tickLblPos val="nextTo"/>
        <c:crossAx val="119170944"/>
        <c:crosses val="autoZero"/>
        <c:auto val="1"/>
        <c:lblAlgn val="ctr"/>
        <c:lblOffset val="100"/>
        <c:noMultiLvlLbl val="0"/>
      </c:catAx>
      <c:valAx>
        <c:axId val="119170944"/>
        <c:scaling>
          <c:orientation val="minMax"/>
        </c:scaling>
        <c:delete val="0"/>
        <c:axPos val="l"/>
        <c:majorGridlines/>
        <c:numFmt formatCode="General" sourceLinked="1"/>
        <c:majorTickMark val="out"/>
        <c:minorTickMark val="none"/>
        <c:tickLblPos val="nextTo"/>
        <c:crossAx val="119169408"/>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EBITDA %</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Charts'!$B$7:$F$7</c:f>
              <c:numCache>
                <c:formatCode>General</c:formatCode>
                <c:ptCount val="5"/>
                <c:pt idx="0">
                  <c:v>4.53</c:v>
                </c:pt>
                <c:pt idx="1">
                  <c:v>5.48</c:v>
                </c:pt>
                <c:pt idx="2">
                  <c:v>5.93</c:v>
                </c:pt>
                <c:pt idx="3">
                  <c:v>3.55</c:v>
                </c:pt>
                <c:pt idx="4">
                  <c:v>5.08</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Charts'!$G$7:$K$7</c:f>
              <c:numCache>
                <c:formatCode>General</c:formatCode>
                <c:ptCount val="5"/>
                <c:pt idx="0">
                  <c:v>8.25</c:v>
                </c:pt>
                <c:pt idx="1">
                  <c:v>8.5299999999999994</c:v>
                </c:pt>
                <c:pt idx="2">
                  <c:v>8.9</c:v>
                </c:pt>
                <c:pt idx="3">
                  <c:v>9.6300000000000008</c:v>
                </c:pt>
                <c:pt idx="4">
                  <c:v>4.0599999999999996</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Charts'!$L$7:$P$7</c:f>
              <c:numCache>
                <c:formatCode>General</c:formatCode>
                <c:ptCount val="5"/>
                <c:pt idx="0">
                  <c:v>5.74</c:v>
                </c:pt>
                <c:pt idx="1">
                  <c:v>6.39</c:v>
                </c:pt>
                <c:pt idx="2">
                  <c:v>6.11</c:v>
                </c:pt>
                <c:pt idx="3">
                  <c:v>4.9000000000000004</c:v>
                </c:pt>
                <c:pt idx="4">
                  <c:v>5.93</c:v>
                </c:pt>
              </c:numCache>
            </c:numRef>
          </c:val>
          <c:smooth val="0"/>
        </c:ser>
        <c:dLbls>
          <c:showLegendKey val="0"/>
          <c:showVal val="0"/>
          <c:showCatName val="0"/>
          <c:showSerName val="0"/>
          <c:showPercent val="0"/>
          <c:showBubbleSize val="0"/>
        </c:dLbls>
        <c:marker val="1"/>
        <c:smooth val="0"/>
        <c:axId val="119476608"/>
        <c:axId val="119478144"/>
      </c:lineChart>
      <c:catAx>
        <c:axId val="119476608"/>
        <c:scaling>
          <c:orientation val="minMax"/>
        </c:scaling>
        <c:delete val="0"/>
        <c:axPos val="b"/>
        <c:numFmt formatCode="General" sourceLinked="1"/>
        <c:majorTickMark val="out"/>
        <c:minorTickMark val="none"/>
        <c:tickLblPos val="nextTo"/>
        <c:crossAx val="119478144"/>
        <c:crosses val="autoZero"/>
        <c:auto val="1"/>
        <c:lblAlgn val="ctr"/>
        <c:lblOffset val="100"/>
        <c:noMultiLvlLbl val="0"/>
      </c:catAx>
      <c:valAx>
        <c:axId val="119478144"/>
        <c:scaling>
          <c:orientation val="minMax"/>
        </c:scaling>
        <c:delete val="0"/>
        <c:axPos val="l"/>
        <c:majorGridlines/>
        <c:numFmt formatCode="General" sourceLinked="1"/>
        <c:majorTickMark val="out"/>
        <c:minorTickMark val="none"/>
        <c:tickLblPos val="nextTo"/>
        <c:crossAx val="119476608"/>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Quick Ratio</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Charts'!$B$12:$F$12</c:f>
              <c:numCache>
                <c:formatCode>General</c:formatCode>
                <c:ptCount val="5"/>
                <c:pt idx="0">
                  <c:v>0.93</c:v>
                </c:pt>
                <c:pt idx="1">
                  <c:v>1.05</c:v>
                </c:pt>
                <c:pt idx="2">
                  <c:v>0.99</c:v>
                </c:pt>
                <c:pt idx="3">
                  <c:v>1.01</c:v>
                </c:pt>
                <c:pt idx="4">
                  <c:v>0.91</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Charts'!$G$12:$K$12</c:f>
              <c:numCache>
                <c:formatCode>General</c:formatCode>
                <c:ptCount val="5"/>
                <c:pt idx="0">
                  <c:v>1.62</c:v>
                </c:pt>
                <c:pt idx="1">
                  <c:v>1.67</c:v>
                </c:pt>
                <c:pt idx="2">
                  <c:v>1.7</c:v>
                </c:pt>
                <c:pt idx="3">
                  <c:v>1.98</c:v>
                </c:pt>
                <c:pt idx="4">
                  <c:v>1.24</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Charts'!$L$12:$P$12</c:f>
              <c:numCache>
                <c:formatCode>General</c:formatCode>
                <c:ptCount val="5"/>
                <c:pt idx="0">
                  <c:v>1.68</c:v>
                </c:pt>
                <c:pt idx="1">
                  <c:v>1.62</c:v>
                </c:pt>
                <c:pt idx="2">
                  <c:v>2.04</c:v>
                </c:pt>
                <c:pt idx="3">
                  <c:v>2.09</c:v>
                </c:pt>
                <c:pt idx="4">
                  <c:v>1.45</c:v>
                </c:pt>
              </c:numCache>
            </c:numRef>
          </c:val>
          <c:smooth val="0"/>
        </c:ser>
        <c:dLbls>
          <c:showLegendKey val="0"/>
          <c:showVal val="0"/>
          <c:showCatName val="0"/>
          <c:showSerName val="0"/>
          <c:showPercent val="0"/>
          <c:showBubbleSize val="0"/>
        </c:dLbls>
        <c:marker val="1"/>
        <c:smooth val="0"/>
        <c:axId val="119491968"/>
        <c:axId val="119497856"/>
      </c:lineChart>
      <c:catAx>
        <c:axId val="119491968"/>
        <c:scaling>
          <c:orientation val="minMax"/>
        </c:scaling>
        <c:delete val="0"/>
        <c:axPos val="b"/>
        <c:numFmt formatCode="General" sourceLinked="1"/>
        <c:majorTickMark val="out"/>
        <c:minorTickMark val="none"/>
        <c:tickLblPos val="nextTo"/>
        <c:crossAx val="119497856"/>
        <c:crosses val="autoZero"/>
        <c:auto val="1"/>
        <c:lblAlgn val="ctr"/>
        <c:lblOffset val="100"/>
        <c:noMultiLvlLbl val="0"/>
      </c:catAx>
      <c:valAx>
        <c:axId val="119497856"/>
        <c:scaling>
          <c:orientation val="minMax"/>
        </c:scaling>
        <c:delete val="0"/>
        <c:axPos val="l"/>
        <c:majorGridlines/>
        <c:numFmt formatCode="General" sourceLinked="1"/>
        <c:majorTickMark val="out"/>
        <c:minorTickMark val="none"/>
        <c:tickLblPos val="nextTo"/>
        <c:crossAx val="119491968"/>
        <c:crosses val="autoZero"/>
        <c:crossBetween val="between"/>
      </c:valAx>
    </c:plotArea>
    <c:legend>
      <c:legendPos val="r"/>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Current Ratio</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Charts'!$B$13:$F$13</c:f>
              <c:numCache>
                <c:formatCode>General</c:formatCode>
                <c:ptCount val="5"/>
                <c:pt idx="0">
                  <c:v>1.42</c:v>
                </c:pt>
                <c:pt idx="1">
                  <c:v>1.48</c:v>
                </c:pt>
                <c:pt idx="2">
                  <c:v>1.55</c:v>
                </c:pt>
                <c:pt idx="3">
                  <c:v>1.58</c:v>
                </c:pt>
                <c:pt idx="4">
                  <c:v>1.53</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Charts'!$G$13:$K$13</c:f>
              <c:numCache>
                <c:formatCode>General</c:formatCode>
                <c:ptCount val="5"/>
                <c:pt idx="0">
                  <c:v>1.77</c:v>
                </c:pt>
                <c:pt idx="1">
                  <c:v>1.91</c:v>
                </c:pt>
                <c:pt idx="2">
                  <c:v>1.87</c:v>
                </c:pt>
                <c:pt idx="3">
                  <c:v>2.2000000000000002</c:v>
                </c:pt>
                <c:pt idx="4">
                  <c:v>1.39</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Charts'!$L$13:$P$13</c:f>
              <c:numCache>
                <c:formatCode>General</c:formatCode>
                <c:ptCount val="5"/>
                <c:pt idx="0">
                  <c:v>1.78</c:v>
                </c:pt>
                <c:pt idx="1">
                  <c:v>1.74</c:v>
                </c:pt>
                <c:pt idx="2">
                  <c:v>2.17</c:v>
                </c:pt>
                <c:pt idx="3">
                  <c:v>2.23</c:v>
                </c:pt>
                <c:pt idx="4">
                  <c:v>1.53</c:v>
                </c:pt>
              </c:numCache>
            </c:numRef>
          </c:val>
          <c:smooth val="0"/>
        </c:ser>
        <c:dLbls>
          <c:showLegendKey val="0"/>
          <c:showVal val="0"/>
          <c:showCatName val="0"/>
          <c:showSerName val="0"/>
          <c:showPercent val="0"/>
          <c:showBubbleSize val="0"/>
        </c:dLbls>
        <c:marker val="1"/>
        <c:smooth val="0"/>
        <c:axId val="119519872"/>
        <c:axId val="120217984"/>
      </c:lineChart>
      <c:catAx>
        <c:axId val="119519872"/>
        <c:scaling>
          <c:orientation val="minMax"/>
        </c:scaling>
        <c:delete val="0"/>
        <c:axPos val="b"/>
        <c:numFmt formatCode="General" sourceLinked="1"/>
        <c:majorTickMark val="out"/>
        <c:minorTickMark val="none"/>
        <c:tickLblPos val="nextTo"/>
        <c:crossAx val="120217984"/>
        <c:crosses val="autoZero"/>
        <c:auto val="1"/>
        <c:lblAlgn val="ctr"/>
        <c:lblOffset val="100"/>
        <c:noMultiLvlLbl val="0"/>
      </c:catAx>
      <c:valAx>
        <c:axId val="120217984"/>
        <c:scaling>
          <c:orientation val="minMax"/>
        </c:scaling>
        <c:delete val="0"/>
        <c:axPos val="l"/>
        <c:majorGridlines/>
        <c:numFmt formatCode="General" sourceLinked="1"/>
        <c:majorTickMark val="out"/>
        <c:minorTickMark val="none"/>
        <c:tickLblPos val="nextTo"/>
        <c:crossAx val="119519872"/>
        <c:crosses val="autoZero"/>
        <c:crossBetween val="between"/>
      </c:valAx>
    </c:plotArea>
    <c:legend>
      <c:legendPos val="r"/>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Debt/Equity Ratio</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Charts'!$B$18:$F$18</c:f>
              <c:numCache>
                <c:formatCode>General</c:formatCode>
                <c:ptCount val="5"/>
                <c:pt idx="0">
                  <c:v>0.14000000000000001</c:v>
                </c:pt>
                <c:pt idx="1">
                  <c:v>0.06</c:v>
                </c:pt>
                <c:pt idx="2">
                  <c:v>0.04</c:v>
                </c:pt>
                <c:pt idx="3">
                  <c:v>0.03</c:v>
                </c:pt>
                <c:pt idx="4">
                  <c:v>0.16</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Charts'!$G$18:$K$18</c:f>
              <c:numCache>
                <c:formatCode>General</c:formatCode>
                <c:ptCount val="5"/>
                <c:pt idx="0">
                  <c:v>0.65</c:v>
                </c:pt>
                <c:pt idx="1">
                  <c:v>0.54</c:v>
                </c:pt>
                <c:pt idx="2">
                  <c:v>0.48</c:v>
                </c:pt>
                <c:pt idx="3">
                  <c:v>0.74</c:v>
                </c:pt>
                <c:pt idx="4">
                  <c:v>0.85</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Charts'!$L$18:$P$18</c:f>
              <c:numCache>
                <c:formatCode>General</c:formatCode>
                <c:ptCount val="5"/>
                <c:pt idx="0">
                  <c:v>0.02</c:v>
                </c:pt>
                <c:pt idx="1">
                  <c:v>0.03</c:v>
                </c:pt>
                <c:pt idx="2">
                  <c:v>0.01</c:v>
                </c:pt>
                <c:pt idx="3">
                  <c:v>0.03</c:v>
                </c:pt>
                <c:pt idx="4">
                  <c:v>0.17</c:v>
                </c:pt>
              </c:numCache>
            </c:numRef>
          </c:val>
          <c:smooth val="0"/>
        </c:ser>
        <c:dLbls>
          <c:showLegendKey val="0"/>
          <c:showVal val="0"/>
          <c:showCatName val="0"/>
          <c:showSerName val="0"/>
          <c:showPercent val="0"/>
          <c:showBubbleSize val="0"/>
        </c:dLbls>
        <c:marker val="1"/>
        <c:smooth val="0"/>
        <c:axId val="120662656"/>
        <c:axId val="120668544"/>
      </c:lineChart>
      <c:catAx>
        <c:axId val="120662656"/>
        <c:scaling>
          <c:orientation val="minMax"/>
        </c:scaling>
        <c:delete val="0"/>
        <c:axPos val="b"/>
        <c:numFmt formatCode="General" sourceLinked="1"/>
        <c:majorTickMark val="out"/>
        <c:minorTickMark val="none"/>
        <c:tickLblPos val="nextTo"/>
        <c:crossAx val="120668544"/>
        <c:crosses val="autoZero"/>
        <c:auto val="1"/>
        <c:lblAlgn val="ctr"/>
        <c:lblOffset val="100"/>
        <c:noMultiLvlLbl val="0"/>
      </c:catAx>
      <c:valAx>
        <c:axId val="120668544"/>
        <c:scaling>
          <c:orientation val="minMax"/>
        </c:scaling>
        <c:delete val="0"/>
        <c:axPos val="l"/>
        <c:majorGridlines/>
        <c:numFmt formatCode="General" sourceLinked="1"/>
        <c:majorTickMark val="out"/>
        <c:minorTickMark val="none"/>
        <c:tickLblPos val="nextTo"/>
        <c:crossAx val="120662656"/>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Asset Turnover</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Charts'!$B$22:$F$22</c:f>
              <c:numCache>
                <c:formatCode>General</c:formatCode>
                <c:ptCount val="5"/>
                <c:pt idx="0">
                  <c:v>3.13</c:v>
                </c:pt>
                <c:pt idx="1">
                  <c:v>3.64</c:v>
                </c:pt>
                <c:pt idx="2">
                  <c:v>3.23</c:v>
                </c:pt>
                <c:pt idx="3">
                  <c:v>2.82</c:v>
                </c:pt>
                <c:pt idx="4">
                  <c:v>2.94</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Charts'!$G$22:$K$22</c:f>
              <c:numCache>
                <c:formatCode>General</c:formatCode>
                <c:ptCount val="5"/>
                <c:pt idx="0">
                  <c:v>1.87</c:v>
                </c:pt>
                <c:pt idx="1">
                  <c:v>2</c:v>
                </c:pt>
                <c:pt idx="2">
                  <c:v>2.1</c:v>
                </c:pt>
                <c:pt idx="3">
                  <c:v>1.93</c:v>
                </c:pt>
                <c:pt idx="4">
                  <c:v>1.64</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Charts'!$L$22:$P$22</c:f>
              <c:numCache>
                <c:formatCode>General</c:formatCode>
                <c:ptCount val="5"/>
                <c:pt idx="0">
                  <c:v>2.71</c:v>
                </c:pt>
                <c:pt idx="1">
                  <c:v>2.93</c:v>
                </c:pt>
                <c:pt idx="2">
                  <c:v>2.62</c:v>
                </c:pt>
                <c:pt idx="3">
                  <c:v>2.1800000000000002</c:v>
                </c:pt>
                <c:pt idx="4">
                  <c:v>1.94</c:v>
                </c:pt>
              </c:numCache>
            </c:numRef>
          </c:val>
          <c:smooth val="0"/>
        </c:ser>
        <c:dLbls>
          <c:showLegendKey val="0"/>
          <c:showVal val="0"/>
          <c:showCatName val="0"/>
          <c:showSerName val="0"/>
          <c:showPercent val="0"/>
          <c:showBubbleSize val="0"/>
        </c:dLbls>
        <c:marker val="1"/>
        <c:smooth val="0"/>
        <c:axId val="120683136"/>
        <c:axId val="120684928"/>
      </c:lineChart>
      <c:catAx>
        <c:axId val="120683136"/>
        <c:scaling>
          <c:orientation val="minMax"/>
        </c:scaling>
        <c:delete val="0"/>
        <c:axPos val="b"/>
        <c:numFmt formatCode="General" sourceLinked="1"/>
        <c:majorTickMark val="out"/>
        <c:minorTickMark val="none"/>
        <c:tickLblPos val="nextTo"/>
        <c:crossAx val="120684928"/>
        <c:crosses val="autoZero"/>
        <c:auto val="1"/>
        <c:lblAlgn val="ctr"/>
        <c:lblOffset val="100"/>
        <c:noMultiLvlLbl val="0"/>
      </c:catAx>
      <c:valAx>
        <c:axId val="120684928"/>
        <c:scaling>
          <c:orientation val="minMax"/>
        </c:scaling>
        <c:delete val="0"/>
        <c:axPos val="l"/>
        <c:majorGridlines/>
        <c:numFmt formatCode="General" sourceLinked="1"/>
        <c:majorTickMark val="out"/>
        <c:minorTickMark val="none"/>
        <c:tickLblPos val="nextTo"/>
        <c:crossAx val="120683136"/>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Accounts Receivable</a:t>
            </a:r>
            <a:r>
              <a:rPr lang="en-US" baseline="0"/>
              <a:t> </a:t>
            </a:r>
            <a:r>
              <a:rPr lang="en-US"/>
              <a:t>Turnover</a:t>
            </a:r>
          </a:p>
        </c:rich>
      </c:tx>
      <c:overlay val="0"/>
    </c:title>
    <c:autoTitleDeleted val="0"/>
    <c:plotArea>
      <c:layout/>
      <c:lineChart>
        <c:grouping val="standard"/>
        <c:varyColors val="0"/>
        <c:ser>
          <c:idx val="0"/>
          <c:order val="0"/>
          <c:tx>
            <c:strRef>
              <c:f>'Ratio Comparison Charts'!$B$1</c:f>
              <c:strCache>
                <c:ptCount val="1"/>
                <c:pt idx="0">
                  <c:v>FLR</c:v>
                </c:pt>
              </c:strCache>
            </c:strRef>
          </c:tx>
          <c:marker>
            <c:symbol val="none"/>
          </c:marker>
          <c:trendline>
            <c:spPr>
              <a:ln>
                <a:prstDash val="sysDash"/>
              </a:ln>
            </c:spPr>
            <c:trendlineType val="linear"/>
            <c:dispRSqr val="0"/>
            <c:dispEq val="0"/>
          </c:trendline>
          <c:cat>
            <c:numRef>
              <c:f>'Ratio Comparison Charts'!$B$2:$F$2</c:f>
              <c:numCache>
                <c:formatCode>General</c:formatCode>
                <c:ptCount val="5"/>
                <c:pt idx="0">
                  <c:v>2007</c:v>
                </c:pt>
                <c:pt idx="1">
                  <c:v>2008</c:v>
                </c:pt>
                <c:pt idx="2">
                  <c:v>2009</c:v>
                </c:pt>
                <c:pt idx="3">
                  <c:v>2010</c:v>
                </c:pt>
                <c:pt idx="4">
                  <c:v>2011</c:v>
                </c:pt>
              </c:numCache>
            </c:numRef>
          </c:cat>
          <c:val>
            <c:numRef>
              <c:f>'Ratio Comparison Charts'!$B$23:$F$23</c:f>
              <c:numCache>
                <c:formatCode>General</c:formatCode>
                <c:ptCount val="5"/>
                <c:pt idx="0">
                  <c:v>18.04</c:v>
                </c:pt>
                <c:pt idx="1">
                  <c:v>20.48</c:v>
                </c:pt>
                <c:pt idx="2">
                  <c:v>19.84</c:v>
                </c:pt>
                <c:pt idx="3">
                  <c:v>18.920000000000002</c:v>
                </c:pt>
                <c:pt idx="4">
                  <c:v>19.079999999999998</c:v>
                </c:pt>
              </c:numCache>
            </c:numRef>
          </c:val>
          <c:smooth val="0"/>
        </c:ser>
        <c:ser>
          <c:idx val="1"/>
          <c:order val="1"/>
          <c:tx>
            <c:strRef>
              <c:f>'Ratio Comparison Charts'!$G$1</c:f>
              <c:strCache>
                <c:ptCount val="1"/>
                <c:pt idx="0">
                  <c:v>SAIC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Charts'!$G$23:$K$23</c:f>
              <c:numCache>
                <c:formatCode>General</c:formatCode>
                <c:ptCount val="5"/>
                <c:pt idx="0">
                  <c:v>5.07</c:v>
                </c:pt>
                <c:pt idx="1">
                  <c:v>5.32</c:v>
                </c:pt>
                <c:pt idx="2">
                  <c:v>5.52</c:v>
                </c:pt>
                <c:pt idx="3">
                  <c:v>5.37</c:v>
                </c:pt>
                <c:pt idx="4">
                  <c:v>4.96</c:v>
                </c:pt>
              </c:numCache>
            </c:numRef>
          </c:val>
          <c:smooth val="0"/>
        </c:ser>
        <c:ser>
          <c:idx val="2"/>
          <c:order val="2"/>
          <c:tx>
            <c:strRef>
              <c:f>'Ratio Comparison Charts'!$L$1</c:f>
              <c:strCache>
                <c:ptCount val="1"/>
                <c:pt idx="0">
                  <c:v>JEC</c:v>
                </c:pt>
              </c:strCache>
            </c:strRef>
          </c:tx>
          <c:marker>
            <c:symbol val="none"/>
          </c:marker>
          <c:cat>
            <c:numRef>
              <c:f>'Ratio Comparison Charts'!$B$2:$F$2</c:f>
              <c:numCache>
                <c:formatCode>General</c:formatCode>
                <c:ptCount val="5"/>
                <c:pt idx="0">
                  <c:v>2007</c:v>
                </c:pt>
                <c:pt idx="1">
                  <c:v>2008</c:v>
                </c:pt>
                <c:pt idx="2">
                  <c:v>2009</c:v>
                </c:pt>
                <c:pt idx="3">
                  <c:v>2010</c:v>
                </c:pt>
                <c:pt idx="4">
                  <c:v>2011</c:v>
                </c:pt>
              </c:numCache>
            </c:numRef>
          </c:cat>
          <c:val>
            <c:numRef>
              <c:f>'Ratio Comparison Charts'!$L$23:$P$23</c:f>
              <c:numCache>
                <c:formatCode>General</c:formatCode>
                <c:ptCount val="5"/>
                <c:pt idx="0">
                  <c:v>5.97</c:v>
                </c:pt>
                <c:pt idx="1">
                  <c:v>6.43</c:v>
                </c:pt>
                <c:pt idx="2">
                  <c:v>6.38</c:v>
                </c:pt>
                <c:pt idx="3">
                  <c:v>6.07</c:v>
                </c:pt>
                <c:pt idx="4">
                  <c:v>5.57</c:v>
                </c:pt>
              </c:numCache>
            </c:numRef>
          </c:val>
          <c:smooth val="0"/>
        </c:ser>
        <c:dLbls>
          <c:showLegendKey val="0"/>
          <c:showVal val="0"/>
          <c:showCatName val="0"/>
          <c:showSerName val="0"/>
          <c:showPercent val="0"/>
          <c:showBubbleSize val="0"/>
        </c:dLbls>
        <c:marker val="1"/>
        <c:smooth val="0"/>
        <c:axId val="120711808"/>
        <c:axId val="120721792"/>
      </c:lineChart>
      <c:catAx>
        <c:axId val="120711808"/>
        <c:scaling>
          <c:orientation val="minMax"/>
        </c:scaling>
        <c:delete val="0"/>
        <c:axPos val="b"/>
        <c:numFmt formatCode="General" sourceLinked="1"/>
        <c:majorTickMark val="out"/>
        <c:minorTickMark val="none"/>
        <c:tickLblPos val="nextTo"/>
        <c:crossAx val="120721792"/>
        <c:crosses val="autoZero"/>
        <c:auto val="1"/>
        <c:lblAlgn val="ctr"/>
        <c:lblOffset val="100"/>
        <c:noMultiLvlLbl val="0"/>
      </c:catAx>
      <c:valAx>
        <c:axId val="120721792"/>
        <c:scaling>
          <c:orientation val="minMax"/>
        </c:scaling>
        <c:delete val="0"/>
        <c:axPos val="l"/>
        <c:majorGridlines/>
        <c:numFmt formatCode="General" sourceLinked="1"/>
        <c:majorTickMark val="out"/>
        <c:minorTickMark val="none"/>
        <c:tickLblPos val="nextTo"/>
        <c:crossAx val="120711808"/>
        <c:crosses val="autoZero"/>
        <c:crossBetween val="between"/>
      </c:valAx>
    </c:plotArea>
    <c:legend>
      <c:legendPos val="b"/>
      <c:overlay val="0"/>
    </c:legend>
    <c:plotVisOnly val="1"/>
    <c:dispBlanksAs val="gap"/>
    <c:showDLblsOverMax val="0"/>
  </c:chart>
  <c:spPr>
    <a:ln>
      <a:noFill/>
    </a:ln>
    <a:effectLst>
      <a:outerShdw blurRad="50800" dist="38100" dir="5400000" algn="t"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14ECFF-FF31-4935-BD86-9ED1C07B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23</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Econolite Group</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Zapata</dc:creator>
  <cp:lastModifiedBy>Martin Zapata</cp:lastModifiedBy>
  <cp:revision>27</cp:revision>
  <dcterms:created xsi:type="dcterms:W3CDTF">2012-12-05T21:51:00Z</dcterms:created>
  <dcterms:modified xsi:type="dcterms:W3CDTF">2012-12-09T22:10:00Z</dcterms:modified>
</cp:coreProperties>
</file>